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《山东省饮用水水源保护区管理规定（征求意见稿）》</w:t>
      </w:r>
      <w:r>
        <w:rPr>
          <w:rFonts w:hint="eastAsia" w:ascii="方正小标宋简体" w:hAnsi="方正小标宋简体" w:eastAsia="方正小标宋简体" w:cs="方正小标宋简体"/>
          <w:color w:val="auto"/>
          <w:sz w:val="44"/>
          <w:szCs w:val="44"/>
          <w:highlight w:val="none"/>
          <w:lang w:eastAsia="zh-CN"/>
        </w:rPr>
        <w:t>编制说明</w:t>
      </w:r>
    </w:p>
    <w:p>
      <w:pPr>
        <w:ind w:firstLine="632" w:firstLineChars="200"/>
        <w:rPr>
          <w:rFonts w:hint="eastAsia" w:eastAsia="仿宋_GB2312"/>
          <w:color w:val="auto"/>
          <w:highlight w:val="none"/>
        </w:rPr>
      </w:pPr>
    </w:p>
    <w:p>
      <w:pPr>
        <w:ind w:firstLine="632" w:firstLineChars="200"/>
        <w:rPr>
          <w:rFonts w:hint="eastAsia" w:eastAsia="仿宋_GB2312"/>
          <w:color w:val="auto"/>
          <w:highlight w:val="none"/>
          <w:lang w:eastAsia="zh-CN"/>
        </w:rPr>
      </w:pPr>
      <w:r>
        <w:rPr>
          <w:rFonts w:hint="eastAsia" w:eastAsia="仿宋_GB2312"/>
          <w:color w:val="auto"/>
          <w:highlight w:val="none"/>
        </w:rPr>
        <w:t>为巩固提升饮用水安全保障水平，进一步强化饮用水水源保护区管理，依据《中华人民共和国水污染防治法》《山东省水污染防治条例》等有关法律法规，省生态环境厅起草了《山东省饮用水水源保护区管理规定》</w:t>
      </w:r>
      <w:r>
        <w:rPr>
          <w:rFonts w:hint="eastAsia" w:eastAsia="仿宋_GB2312"/>
          <w:color w:val="auto"/>
          <w:highlight w:val="none"/>
          <w:lang w:eastAsia="zh-CN"/>
        </w:rPr>
        <w:t>。</w:t>
      </w:r>
      <w:bookmarkStart w:id="0" w:name="_GoBack"/>
      <w:bookmarkEnd w:id="0"/>
    </w:p>
    <w:p>
      <w:pPr>
        <w:ind w:firstLine="632" w:firstLineChars="200"/>
        <w:rPr>
          <w:rFonts w:hint="eastAsia" w:ascii="黑体" w:hAnsi="黑体" w:eastAsia="黑体" w:cs="黑体"/>
          <w:color w:val="auto"/>
          <w:highlight w:val="none"/>
        </w:rPr>
      </w:pPr>
      <w:r>
        <w:rPr>
          <w:rFonts w:hint="eastAsia" w:ascii="黑体" w:hAnsi="黑体" w:eastAsia="黑体" w:cs="黑体"/>
          <w:color w:val="auto"/>
          <w:highlight w:val="none"/>
        </w:rPr>
        <w:t>一、政策背景</w:t>
      </w:r>
    </w:p>
    <w:p>
      <w:pPr>
        <w:widowControl/>
        <w:ind w:firstLine="632" w:firstLineChars="200"/>
        <w:jc w:val="left"/>
        <w:rPr>
          <w:rFonts w:hint="eastAsia" w:eastAsia="仿宋_GB2312"/>
          <w:color w:val="auto"/>
          <w:highlight w:val="none"/>
        </w:rPr>
      </w:pPr>
      <w:r>
        <w:rPr>
          <w:rFonts w:hint="eastAsia" w:eastAsia="仿宋_GB2312"/>
          <w:color w:val="auto"/>
          <w:highlight w:val="none"/>
        </w:rPr>
        <w:t>饮用水水源地环境保护事关人民群众身体健康，事关社会和谐稳定。我省坚定践行</w:t>
      </w:r>
      <w:r>
        <w:rPr>
          <w:rFonts w:hint="eastAsia" w:eastAsia="仿宋_GB2312"/>
          <w:color w:val="auto"/>
          <w:highlight w:val="none"/>
          <w:lang w:eastAsia="zh-CN"/>
        </w:rPr>
        <w:t>人民至上、生命至上理念，以高品质生态环境支撑高质量发展，切实保障人民群众饮水安全。</w:t>
      </w:r>
      <w:r>
        <w:rPr>
          <w:rFonts w:hint="eastAsia" w:eastAsia="仿宋_GB2312"/>
          <w:color w:val="auto"/>
          <w:highlight w:val="none"/>
          <w:lang w:val="en-US" w:eastAsia="zh-CN"/>
        </w:rPr>
        <w:t>2022年9月，《山东省饮用水水源保护区管理规定（试行）》印发，有效期两年。</w:t>
      </w:r>
      <w:r>
        <w:rPr>
          <w:rFonts w:hint="eastAsia" w:eastAsia="仿宋_GB2312" w:cs="Times New Roman"/>
          <w:sz w:val="32"/>
          <w:szCs w:val="32"/>
          <w:lang w:val="en-US" w:eastAsia="zh-CN"/>
        </w:rPr>
        <w:t>文件实施以来，我省饮用水水源保护区划定、调整、撤销等工作得到规范，</w:t>
      </w:r>
      <w:r>
        <w:rPr>
          <w:rFonts w:ascii="Times New Roman" w:hAnsi="Times New Roman" w:eastAsia="仿宋_GB2312" w:cs="Times New Roman"/>
          <w:sz w:val="32"/>
          <w:szCs w:val="32"/>
        </w:rPr>
        <w:t>各级和各部门责任</w:t>
      </w:r>
      <w:r>
        <w:rPr>
          <w:rFonts w:hint="eastAsia" w:ascii="Times New Roman" w:hAnsi="Times New Roman" w:eastAsia="仿宋_GB2312" w:cs="Times New Roman"/>
          <w:sz w:val="32"/>
          <w:szCs w:val="32"/>
          <w:lang w:eastAsia="zh-CN"/>
        </w:rPr>
        <w:t>进一步明确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有效</w:t>
      </w:r>
      <w:r>
        <w:rPr>
          <w:rFonts w:ascii="Times New Roman" w:hAnsi="Times New Roman" w:eastAsia="仿宋_GB2312" w:cs="Times New Roman"/>
          <w:sz w:val="32"/>
          <w:szCs w:val="32"/>
        </w:rPr>
        <w:t>保障</w:t>
      </w:r>
      <w:r>
        <w:rPr>
          <w:rFonts w:hint="eastAsia" w:ascii="Times New Roman" w:hAnsi="Times New Roman" w:eastAsia="仿宋_GB2312" w:cs="Times New Roman"/>
          <w:sz w:val="32"/>
          <w:szCs w:val="32"/>
          <w:lang w:eastAsia="zh-CN"/>
        </w:rPr>
        <w:t>了</w:t>
      </w:r>
      <w:r>
        <w:rPr>
          <w:rFonts w:ascii="Times New Roman" w:hAnsi="Times New Roman" w:eastAsia="仿宋_GB2312" w:cs="Times New Roman"/>
          <w:sz w:val="32"/>
          <w:szCs w:val="32"/>
        </w:rPr>
        <w:t>人民群众饮水安全</w:t>
      </w:r>
      <w:r>
        <w:rPr>
          <w:rFonts w:hint="eastAsia" w:ascii="Times New Roman" w:hAnsi="Times New Roman" w:eastAsia="仿宋_GB2312" w:cs="Times New Roman"/>
          <w:sz w:val="32"/>
          <w:szCs w:val="32"/>
          <w:lang w:eastAsia="zh-CN"/>
        </w:rPr>
        <w:t>。为更好地推进全省饮用水水源监督管理，省生态环境厅</w:t>
      </w:r>
      <w:r>
        <w:rPr>
          <w:rFonts w:hint="eastAsia" w:eastAsia="仿宋_GB2312" w:cs="Times New Roman"/>
          <w:sz w:val="32"/>
          <w:szCs w:val="32"/>
          <w:lang w:eastAsia="zh-CN"/>
        </w:rPr>
        <w:t>启动了</w:t>
      </w:r>
      <w:r>
        <w:rPr>
          <w:rFonts w:hint="eastAsia" w:eastAsia="仿宋_GB2312"/>
          <w:color w:val="auto"/>
          <w:highlight w:val="none"/>
        </w:rPr>
        <w:t>《山东省饮用水水源保护区管理规定》</w:t>
      </w:r>
      <w:r>
        <w:rPr>
          <w:rFonts w:hint="eastAsia" w:eastAsia="仿宋_GB2312" w:cs="Times New Roman"/>
          <w:sz w:val="32"/>
          <w:szCs w:val="32"/>
          <w:lang w:val="en-US" w:eastAsia="zh-CN"/>
        </w:rPr>
        <w:t>制定工作</w:t>
      </w:r>
      <w:r>
        <w:rPr>
          <w:rFonts w:hint="eastAsia" w:eastAsia="仿宋_GB2312"/>
          <w:color w:val="auto"/>
          <w:highlight w:val="none"/>
          <w:lang w:val="en-US" w:eastAsia="zh-CN"/>
        </w:rPr>
        <w:t>。</w:t>
      </w:r>
    </w:p>
    <w:p>
      <w:pPr>
        <w:ind w:firstLine="632" w:firstLineChars="200"/>
        <w:rPr>
          <w:rFonts w:hint="eastAsia" w:ascii="黑体" w:hAnsi="黑体" w:eastAsia="黑体" w:cs="黑体"/>
          <w:color w:val="auto"/>
          <w:highlight w:val="none"/>
        </w:rPr>
      </w:pPr>
      <w:r>
        <w:rPr>
          <w:rFonts w:hint="eastAsia" w:ascii="黑体" w:hAnsi="黑体" w:eastAsia="黑体" w:cs="黑体"/>
          <w:color w:val="auto"/>
          <w:highlight w:val="none"/>
        </w:rPr>
        <w:t>二、政策内容</w:t>
      </w:r>
    </w:p>
    <w:p>
      <w:pPr>
        <w:ind w:firstLine="632" w:firstLineChars="200"/>
        <w:rPr>
          <w:rFonts w:hint="eastAsia" w:eastAsia="仿宋_GB2312"/>
          <w:color w:val="auto"/>
          <w:highlight w:val="none"/>
        </w:rPr>
      </w:pPr>
      <w:r>
        <w:rPr>
          <w:rFonts w:hint="eastAsia" w:eastAsia="仿宋_GB2312"/>
          <w:color w:val="auto"/>
          <w:highlight w:val="none"/>
        </w:rPr>
        <w:t>《山东省饮用水水源保护区管理规定》包含总则、饮用水水源保护区划定（调整、撤销）程序、饮用水水源保护区建设与管理要求、附则四部分内容。</w:t>
      </w:r>
    </w:p>
    <w:p>
      <w:pPr>
        <w:ind w:firstLine="632" w:firstLineChars="200"/>
        <w:rPr>
          <w:rFonts w:hint="eastAsia" w:eastAsia="仿宋_GB2312"/>
          <w:color w:val="auto"/>
          <w:highlight w:val="none"/>
        </w:rPr>
      </w:pPr>
      <w:r>
        <w:rPr>
          <w:rFonts w:hint="eastAsia" w:eastAsia="仿宋_GB2312"/>
          <w:color w:val="auto"/>
          <w:highlight w:val="none"/>
        </w:rPr>
        <w:t>第一部分为总则。明确本规定适用于本省行政区域内县级及以上集中式饮用水水源保护区管理。</w:t>
      </w:r>
    </w:p>
    <w:p>
      <w:pPr>
        <w:ind w:firstLine="632" w:firstLineChars="200"/>
        <w:rPr>
          <w:rFonts w:hint="eastAsia" w:eastAsia="仿宋_GB2312"/>
          <w:color w:val="auto"/>
          <w:highlight w:val="none"/>
        </w:rPr>
      </w:pPr>
      <w:r>
        <w:rPr>
          <w:rFonts w:hint="eastAsia" w:eastAsia="仿宋_GB2312"/>
          <w:color w:val="auto"/>
          <w:highlight w:val="none"/>
        </w:rPr>
        <w:t>第二部分为饮用水水源保护区划定（调整、撤销）程序。</w:t>
      </w:r>
      <w:r>
        <w:rPr>
          <w:rFonts w:hint="eastAsia" w:eastAsia="仿宋_GB2312"/>
          <w:color w:val="auto"/>
          <w:highlight w:val="none"/>
          <w:lang w:eastAsia="zh-CN"/>
        </w:rPr>
        <w:t>沿用</w:t>
      </w:r>
      <w:r>
        <w:rPr>
          <w:rFonts w:hint="eastAsia" w:eastAsia="仿宋_GB2312"/>
          <w:color w:val="auto"/>
          <w:highlight w:val="none"/>
          <w:lang w:val="en-US" w:eastAsia="zh-CN"/>
        </w:rPr>
        <w:t>《山东省饮用水水源保护区管理规定（试行）》中的</w:t>
      </w:r>
      <w:r>
        <w:rPr>
          <w:rFonts w:hint="eastAsia" w:eastAsia="仿宋_GB2312"/>
          <w:color w:val="auto"/>
          <w:highlight w:val="none"/>
        </w:rPr>
        <w:t>重大行政决策五步法</w:t>
      </w:r>
      <w:r>
        <w:rPr>
          <w:rFonts w:hint="eastAsia" w:eastAsia="仿宋_GB2312"/>
          <w:color w:val="auto"/>
          <w:highlight w:val="none"/>
          <w:lang w:eastAsia="zh-CN"/>
        </w:rPr>
        <w:t>程序</w:t>
      </w:r>
      <w:r>
        <w:rPr>
          <w:rFonts w:hint="eastAsia" w:eastAsia="仿宋_GB2312"/>
          <w:color w:val="auto"/>
          <w:highlight w:val="none"/>
        </w:rPr>
        <w:t>，</w:t>
      </w:r>
      <w:r>
        <w:rPr>
          <w:rFonts w:hint="eastAsia" w:eastAsia="仿宋_GB2312"/>
          <w:color w:val="auto"/>
          <w:highlight w:val="none"/>
          <w:lang w:eastAsia="zh-CN"/>
        </w:rPr>
        <w:t>进一步</w:t>
      </w:r>
      <w:r>
        <w:rPr>
          <w:rFonts w:hint="eastAsia" w:eastAsia="仿宋_GB2312"/>
          <w:color w:val="auto"/>
          <w:highlight w:val="none"/>
        </w:rPr>
        <w:t>明确饮用水水源保护区划定、调整、撤销的全流程。</w:t>
      </w:r>
    </w:p>
    <w:p>
      <w:pPr>
        <w:ind w:firstLine="632" w:firstLineChars="200"/>
        <w:rPr>
          <w:rFonts w:hint="eastAsia" w:eastAsia="仿宋_GB2312"/>
          <w:color w:val="auto"/>
          <w:highlight w:val="none"/>
        </w:rPr>
      </w:pPr>
      <w:r>
        <w:rPr>
          <w:rFonts w:hint="eastAsia" w:eastAsia="仿宋_GB2312"/>
          <w:color w:val="auto"/>
          <w:highlight w:val="none"/>
        </w:rPr>
        <w:t>第三部分为饮用水水源保护区建设与管理要求。根据国家相关法律法规，明确了保护职责、标志设置、专项检查、清理整治、监测监控、应急防范等具体要求。</w:t>
      </w:r>
    </w:p>
    <w:p>
      <w:pPr>
        <w:ind w:firstLine="632" w:firstLineChars="200"/>
        <w:rPr>
          <w:rFonts w:hint="eastAsia" w:eastAsia="仿宋_GB2312"/>
          <w:color w:val="auto"/>
          <w:highlight w:val="none"/>
        </w:rPr>
      </w:pPr>
      <w:r>
        <w:rPr>
          <w:rFonts w:hint="eastAsia" w:eastAsia="仿宋_GB2312"/>
          <w:color w:val="auto"/>
          <w:highlight w:val="none"/>
        </w:rPr>
        <w:t>第四部分为附则。确定《山东省饮用水水源保护区管理规定》</w:t>
      </w:r>
      <w:r>
        <w:rPr>
          <w:rFonts w:hint="eastAsia" w:eastAsia="仿宋_GB2312"/>
          <w:color w:val="auto"/>
          <w:highlight w:val="none"/>
          <w:lang w:val="en-US" w:eastAsia="zh-CN"/>
        </w:rPr>
        <w:t>的有效期限</w:t>
      </w:r>
      <w:r>
        <w:rPr>
          <w:rFonts w:hint="eastAsia" w:eastAsia="仿宋_GB2312"/>
          <w:color w:val="auto"/>
          <w:highlight w:val="none"/>
        </w:rPr>
        <w:t>。   </w:t>
      </w:r>
    </w:p>
    <w:p>
      <w:pPr>
        <w:ind w:firstLine="632" w:firstLineChars="200"/>
        <w:rPr>
          <w:rFonts w:hint="eastAsia" w:ascii="黑体" w:hAnsi="黑体" w:eastAsia="黑体" w:cs="黑体"/>
          <w:color w:val="auto"/>
          <w:highlight w:val="none"/>
        </w:rPr>
      </w:pPr>
      <w:r>
        <w:rPr>
          <w:rFonts w:hint="eastAsia" w:ascii="黑体" w:hAnsi="黑体" w:eastAsia="黑体" w:cs="黑体"/>
          <w:color w:val="auto"/>
          <w:highlight w:val="none"/>
        </w:rPr>
        <w:t>三、主要特点</w:t>
      </w:r>
    </w:p>
    <w:p>
      <w:pPr>
        <w:ind w:firstLine="632" w:firstLineChars="200"/>
        <w:rPr>
          <w:rFonts w:hint="eastAsia" w:eastAsia="仿宋_GB2312"/>
          <w:color w:val="auto"/>
          <w:highlight w:val="none"/>
        </w:rPr>
      </w:pPr>
      <w:r>
        <w:rPr>
          <w:rFonts w:hint="eastAsia" w:eastAsia="仿宋_GB2312"/>
          <w:color w:val="auto"/>
          <w:highlight w:val="none"/>
        </w:rPr>
        <w:t>一是规范程序。贯彻行政决策五步法，要求各市组织划定、调整饮用水水源保护区必须履行公众参与、风险评估、专家论证、合法性审查、集体决议等程序。二是压实责任。明确各市划定、调整、撤销方案要经市政府会议研究，明确省有关部门职责分工，经联合审查后，提请省政府会议研究批准。三是强化监管。在现行法律法规基础上，细化落实国家部委关于饮用水水源保护区的建设管理要求，进一步明确各级政府和部门职责。</w:t>
      </w:r>
    </w:p>
    <w:sectPr>
      <w:footerReference r:id="rId3" w:type="default"/>
      <w:footerReference r:id="rId4" w:type="even"/>
      <w:pgSz w:w="11906" w:h="16838"/>
      <w:pgMar w:top="1985" w:right="1474" w:bottom="1985" w:left="1588"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Style w:val="7"/>
        <w:rFonts w:hint="eastAsia" w:ascii="宋体" w:hAnsi="宋体"/>
        <w:sz w:val="28"/>
        <w:szCs w:val="28"/>
      </w:rPr>
      <w:t>—</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9</w:t>
    </w:r>
    <w:r>
      <w:rPr>
        <w:rFonts w:hint="eastAsia" w:ascii="宋体" w:hAnsi="宋体"/>
        <w:sz w:val="28"/>
        <w:szCs w:val="28"/>
      </w:rPr>
      <w:fldChar w:fldCharType="end"/>
    </w:r>
    <w:r>
      <w:rPr>
        <w:rStyle w:val="7"/>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mYzg0YWVmODNmMjY0OGE1OWM3ZjI3NGFkODUyZGIifQ=="/>
  </w:docVars>
  <w:rsids>
    <w:rsidRoot w:val="00EB2114"/>
    <w:rsid w:val="000475A2"/>
    <w:rsid w:val="000759AB"/>
    <w:rsid w:val="00204ED7"/>
    <w:rsid w:val="00245178"/>
    <w:rsid w:val="002D52D7"/>
    <w:rsid w:val="003038B0"/>
    <w:rsid w:val="0033630E"/>
    <w:rsid w:val="00341DDE"/>
    <w:rsid w:val="00396F54"/>
    <w:rsid w:val="00505ED6"/>
    <w:rsid w:val="0054338F"/>
    <w:rsid w:val="00630D41"/>
    <w:rsid w:val="00743FA0"/>
    <w:rsid w:val="008658D3"/>
    <w:rsid w:val="009012B0"/>
    <w:rsid w:val="00995494"/>
    <w:rsid w:val="009C4D09"/>
    <w:rsid w:val="00A10059"/>
    <w:rsid w:val="00A5592B"/>
    <w:rsid w:val="00BE0B75"/>
    <w:rsid w:val="00E44DB5"/>
    <w:rsid w:val="00EB2114"/>
    <w:rsid w:val="011E2F51"/>
    <w:rsid w:val="05D5482F"/>
    <w:rsid w:val="0D7F205C"/>
    <w:rsid w:val="1B376954"/>
    <w:rsid w:val="1CEB4B27"/>
    <w:rsid w:val="21F969D6"/>
    <w:rsid w:val="250F103C"/>
    <w:rsid w:val="2F4C44C4"/>
    <w:rsid w:val="3C1C4303"/>
    <w:rsid w:val="3E7C1B1C"/>
    <w:rsid w:val="403A4837"/>
    <w:rsid w:val="4C634DC3"/>
    <w:rsid w:val="51C65E9C"/>
    <w:rsid w:val="52FC4E29"/>
    <w:rsid w:val="531922CA"/>
    <w:rsid w:val="56981C68"/>
    <w:rsid w:val="59545141"/>
    <w:rsid w:val="5DB64582"/>
    <w:rsid w:val="60A338CF"/>
    <w:rsid w:val="623E52B3"/>
    <w:rsid w:val="66FB505F"/>
    <w:rsid w:val="689C1FB5"/>
    <w:rsid w:val="6AAC553D"/>
    <w:rsid w:val="6B4D1ADA"/>
    <w:rsid w:val="74245FDE"/>
    <w:rsid w:val="74B2764E"/>
    <w:rsid w:val="7E1B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9"/>
    <w:qFormat/>
    <w:uiPriority w:val="1"/>
    <w:pPr>
      <w:autoSpaceDE w:val="0"/>
      <w:autoSpaceDN w:val="0"/>
      <w:jc w:val="left"/>
    </w:pPr>
    <w:rPr>
      <w:rFonts w:ascii="宋体" w:hAnsi="宋体" w:cs="宋体"/>
      <w:kern w:val="0"/>
      <w:sz w:val="29"/>
      <w:szCs w:val="29"/>
      <w:lang w:eastAsia="en-US"/>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默认段落字体 Para Char Char Char Char Char Char Char"/>
    <w:basedOn w:val="1"/>
    <w:qFormat/>
    <w:uiPriority w:val="0"/>
    <w:rPr>
      <w:sz w:val="21"/>
      <w:szCs w:val="24"/>
    </w:rPr>
  </w:style>
  <w:style w:type="character" w:customStyle="1" w:styleId="9">
    <w:name w:val="正文文本 Char"/>
    <w:basedOn w:val="6"/>
    <w:link w:val="3"/>
    <w:qFormat/>
    <w:uiPriority w:val="1"/>
    <w:rPr>
      <w:rFonts w:ascii="宋体" w:hAnsi="宋体" w:cs="宋体"/>
      <w:sz w:val="29"/>
      <w:szCs w:val="2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Pages>
  <Words>520</Words>
  <Characters>2965</Characters>
  <Lines>24</Lines>
  <Paragraphs>6</Paragraphs>
  <TotalTime>3</TotalTime>
  <ScaleCrop>false</ScaleCrop>
  <LinksUpToDate>false</LinksUpToDate>
  <CharactersWithSpaces>3479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2022-10-08T02:18:00Z</dcterms:created>
  <dc:creator>Administrator</dc:creator>
  <cp:lastModifiedBy>Administrator</cp:lastModifiedBy>
  <cp:lastPrinted>2024-09-30T08:08:00Z</cp:lastPrinted>
  <dcterms:modified xsi:type="dcterms:W3CDTF">2024-09-30T08:38:00Z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E343EC798FC64E4C9A7F5F4E286279BA</vt:lpwstr>
  </property>
</Properties>
</file>