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九江市生态环境局关于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企业废水自动监控数据超标响应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规程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为提高生态环境部门非现场监管能力，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根据《江西省污染源自动监测数据管理条例》《江西省污染源自动监控管理办法》等文件要求，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进一步通过政企协同的方式强化在线监测数据预警，筑牢生态环境安全防线，结合实际制定本响应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规程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36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一、响应对象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</w:rPr>
        <w:t>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工业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生活污水处理厂（以下简称“污水处理厂”）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</w:rPr>
        <w:t>②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处理后废水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直排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自然水体的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涉危涉重企业</w:t>
      </w:r>
      <w:r>
        <w:rPr>
          <w:rFonts w:hint="eastAsia" w:ascii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以下简称“直排企业”</w:t>
      </w:r>
      <w:r>
        <w:rPr>
          <w:rFonts w:hint="eastAsia" w:ascii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36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二、响应流程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1.超标数据预警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（1）在线预警：依托智慧环保污染源非现场监管系统，升级并完善短信推送功能，出现超标数据后第一时间推送企业环保负责人和生态环境部门。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（2）污水处理厂、直排企业响应：企业环保负责人收到超标信息后，应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及时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通知在线运维人员到场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运维人员接到通知后，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白天（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:00-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:00）2小时内到达现场，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其余时间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(当日20:00至次日6:00)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需于次日8时前到达现场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排查在线监测设备是否存在异常。企业应同步开展超标原因排查，并开展手工监测。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2.超标原因排查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1）污水处理厂：核实是否存在进水异常情况，检查上游企业排放情况，追溯异常进水来源；排查是否存在工艺故障，检查曝气系统、污泥活性、加药设备等运行状态；运维人员排查在线监测设备运行情况，检查在线监测设备是否出现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（2）直排企业：排查水污染防治设施运行情况、运维人员排查在线监测设备运行情况。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3.应急处置措施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如若核实因在线监测设备故障导致监测数据超标，企业环保负责人应及时将排查情况报告属地生态环境部门，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并按每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小时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次对超标因子开展手工监测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；运维人员需按规范要求及时开展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自动监测设备维护工作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在排除因在线监测设备故障导致的数据异常、数据确存在真实超标情况下，企业应当立即采取应急处置措施，并同步报告属地生态环境部门，报告内容包括但不限于超标污染物种类、浓度、排放量、超标原因、已采取措施等，同时视情启动企业突发环境事件应急预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（1）污水处理厂：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立即控制污染源排放，有事故应急池的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启用暂存废水；无事故应急池的，应立即采取强化工艺处理（如增加曝气量、投加碳源、应急药剂等）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最大限度减少外排等措施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（2）直排企业：立即停止超标废水外排，启用事故应急池暂存废水，降低生产负荷或停产。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4.信息报告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出现污染物浓度连续真实超标6小时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以上且存在外排水情形，属地生态环境部门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应第一时间前往现场调查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现场核实存在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重金属超标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1倍及以上情形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，立即启动现场应急响应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其他常规因子超标情形，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属地生态环境部门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视对外环境造成严重影响程度启动现场应急响应。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小时内向市生态环境保护综合行政执法支队报告（报告形式包括书面材料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和口头报告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市生态环境保护综合行政执法支队根据事态发展和处置情况，视情牵头组织水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生态环境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科、自然生态科（生态环境监测科）、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生态环境预警应急管控中心开展现场应急响应。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5.现场核查与应急处置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启动现场应急响应后，由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生态环境保护综合行政执法支队（大队）牵头迅速组建应急处置队伍赶赴现场，核查数据超标原因，进行调查取证，第一时间固定证据并判断超标性质。监督指导企业落实各项应急管控措施，评估措施有效性，防止污染进一步扩大。必要时，调用应急物资或协调第三方力量支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6.应急监测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生态环境预警应急管控中心迅速组建应急监测队伍赶赴现场，制定应急监测方案，在排污口下游、厂界、周边环境敏感点位布点采样，提供实时监测数据，对监测污染物扩散情况和环境影响进行评估，为下一步响应及响应终止提供决策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7.响应终止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超标污染来源已得到控制，监测数据连续达标4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小时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以上，可终止应急响应并启动事后调查。涉及环境违法行为的，由生态环境部门依法立案查处。</w:t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本办法自2025年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试行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firstLine="0" w:firstLineChars="0"/>
      <w:rPr>
        <w:rStyle w:val="11"/>
        <w:rFonts w:hint="eastAsia"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Style w:val="11"/>
        <w:rFonts w:hint="eastAsia" w:ascii="宋体" w:hAnsi="宋体" w:eastAsia="宋体" w:cs="宋体"/>
        <w:sz w:val="28"/>
      </w:rPr>
      <w:fldChar w:fldCharType="begin"/>
    </w:r>
    <w:r>
      <w:rPr>
        <w:rStyle w:val="11"/>
        <w:rFonts w:hint="eastAsia" w:ascii="宋体" w:hAnsi="宋体" w:eastAsia="宋体" w:cs="宋体"/>
        <w:sz w:val="28"/>
      </w:rPr>
      <w:instrText xml:space="preserve">PAGE  </w:instrText>
    </w:r>
    <w:r>
      <w:rPr>
        <w:rStyle w:val="11"/>
        <w:rFonts w:hint="eastAsia" w:ascii="宋体" w:hAnsi="宋体" w:eastAsia="宋体" w:cs="宋体"/>
        <w:sz w:val="28"/>
      </w:rPr>
      <w:fldChar w:fldCharType="separate"/>
    </w:r>
    <w:r>
      <w:rPr>
        <w:rStyle w:val="11"/>
        <w:rFonts w:hint="eastAsia" w:ascii="宋体" w:hAnsi="宋体" w:eastAsia="宋体" w:cs="宋体"/>
        <w:sz w:val="28"/>
      </w:rPr>
      <w:t>3</w:t>
    </w:r>
    <w:r>
      <w:rPr>
        <w:rStyle w:val="11"/>
        <w:rFonts w:hint="eastAsia" w:ascii="宋体" w:hAnsi="宋体" w:eastAsia="宋体" w:cs="宋体"/>
        <w:sz w:val="28"/>
      </w:rPr>
      <w:fldChar w:fldCharType="end"/>
    </w:r>
    <w:r>
      <w:rPr>
        <w:rStyle w:val="11"/>
        <w:rFonts w:hint="eastAsia" w:ascii="宋体" w:hAnsi="宋体" w:eastAsia="宋体" w:cs="宋体"/>
        <w:sz w:val="28"/>
      </w:rPr>
      <w:t xml:space="preserve"> </w:t>
    </w:r>
    <w:r>
      <w:rPr>
        <w:rFonts w:hint="eastAsia" w:ascii="宋体" w:hAnsi="宋体" w:eastAsia="宋体" w:cs="宋体"/>
        <w:sz w:val="28"/>
      </w:rPr>
      <w:t>—</w:t>
    </w:r>
  </w:p>
  <w:p>
    <w:pPr>
      <w:pStyle w:val="8"/>
      <w:ind w:right="360" w:firstLine="360"/>
      <w:jc w:val="center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MzU4NWRjOWM4N2E1YTAyNjM2OTYwMTkyNTY1ZmUifQ=="/>
  </w:docVars>
  <w:rsids>
    <w:rsidRoot w:val="4D2C537C"/>
    <w:rsid w:val="0198679B"/>
    <w:rsid w:val="058D7703"/>
    <w:rsid w:val="14D502F6"/>
    <w:rsid w:val="22911214"/>
    <w:rsid w:val="3FAB761C"/>
    <w:rsid w:val="45FC4085"/>
    <w:rsid w:val="4D2C537C"/>
    <w:rsid w:val="7209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6">
    <w:name w:val="Body Text"/>
    <w:basedOn w:val="1"/>
    <w:next w:val="7"/>
    <w:qFormat/>
    <w:uiPriority w:val="99"/>
    <w:rPr>
      <w:sz w:val="28"/>
    </w:rPr>
  </w:style>
  <w:style w:type="paragraph" w:customStyle="1" w:styleId="7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FootnoteText"/>
    <w:basedOn w:val="1"/>
    <w:qFormat/>
    <w:uiPriority w:val="0"/>
    <w:pPr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4</Pages>
  <Words>1493</Words>
  <Characters>1521</Characters>
  <Lines>0</Lines>
  <Paragraphs>0</Paragraphs>
  <TotalTime>0</TotalTime>
  <ScaleCrop>false</ScaleCrop>
  <LinksUpToDate>false</LinksUpToDate>
  <CharactersWithSpaces>1525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2025-08-07T03:29:00Z</dcterms:created>
  <dc:creator>方静姝</dc:creator>
  <cp:lastModifiedBy>WPS_1670725696</cp:lastModifiedBy>
  <dcterms:modified xsi:type="dcterms:W3CDTF">2025-08-11T06:42:22Z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32068EFA28AE434B8082F81F44BE5C4A_13</vt:lpwstr>
  </property>
</Properties>
</file>