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int="eastAsia"/>
          <w:b w:val="0"/>
          <w:bCs w:val="0"/>
          <w:color w:val="000000"/>
          <w:kern w:val="0"/>
          <w:sz w:val="44"/>
          <w:szCs w:val="44"/>
        </w:rPr>
      </w:pPr>
      <w:r>
        <w:rPr>
          <w:rFonts w:ascii="方正小标宋简体" w:eastAsia="方正小标宋简体" w:cs="方正小标宋简体" w:hint="eastAsia"/>
          <w:b w:val="0"/>
          <w:bCs w:val="0"/>
          <w:color w:val="000000"/>
          <w:kern w:val="0"/>
          <w:sz w:val="44"/>
          <w:szCs w:val="44"/>
          <w:lang w:eastAsia="zh-CN"/>
        </w:rPr>
        <w:t>长沙市地方标准</w:t>
      </w:r>
      <w:r>
        <w:rPr>
          <w:rFonts w:ascii="方正小标宋简体" w:eastAsia="方正小标宋简体" w:cs="方正小标宋简体" w:hint="eastAsia"/>
          <w:b w:val="0"/>
          <w:bCs w:val="0"/>
          <w:color w:val="000000"/>
          <w:kern w:val="0"/>
          <w:sz w:val="44"/>
          <w:szCs w:val="44"/>
        </w:rPr>
        <w:t>《长沙市重大活动食品安全管理规范》编制说明</w:t>
      </w:r>
    </w:p>
    <w:p>
      <w:pPr>
        <w:widowControl/>
        <w:spacing w:line="360" w:lineRule="auto"/>
        <w:ind w:firstLineChars="200" w:firstLine="600"/>
        <w:jc w:val="left"/>
        <w:rPr>
          <w:rFonts w:ascii="黑体" w:eastAsia="黑体" w:cs="黑体" w:hint="eastAsia"/>
          <w:color w:val="000000"/>
          <w:kern w:val="0"/>
          <w:sz w:val="30"/>
          <w:szCs w:val="30"/>
        </w:rPr>
      </w:pPr>
    </w:p>
    <w:p>
      <w:pPr>
        <w:widowControl/>
        <w:spacing w:line="360" w:lineRule="auto"/>
        <w:ind w:firstLineChars="200" w:firstLine="640"/>
        <w:jc w:val="left"/>
        <w:rPr>
          <w:rFonts w:ascii="黑体" w:eastAsia="黑体" w:cs="黑体"/>
          <w:color w:val="000000"/>
          <w:kern w:val="0"/>
          <w:sz w:val="32"/>
          <w:szCs w:val="32"/>
        </w:rPr>
      </w:pPr>
      <w:r>
        <w:rPr>
          <w:rFonts w:ascii="黑体" w:eastAsia="黑体" w:cs="黑体" w:hint="eastAsia"/>
          <w:color w:val="000000"/>
          <w:kern w:val="0"/>
          <w:sz w:val="32"/>
          <w:szCs w:val="32"/>
        </w:rPr>
        <w:t>一、目的意义</w:t>
      </w:r>
    </w:p>
    <w:p>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随着在</w:t>
      </w:r>
      <w:r>
        <w:rPr>
          <w:rFonts w:ascii="仿宋_GB2312" w:eastAsia="仿宋_GB2312" w:hint="eastAsia"/>
          <w:sz w:val="32"/>
          <w:szCs w:val="32"/>
          <w:lang w:val="en-US" w:eastAsia="zh-CN"/>
        </w:rPr>
        <w:t>长沙市</w:t>
      </w:r>
      <w:r>
        <w:rPr>
          <w:rFonts w:ascii="仿宋_GB2312" w:eastAsia="仿宋_GB2312" w:hint="eastAsia"/>
          <w:sz w:val="32"/>
          <w:szCs w:val="32"/>
        </w:rPr>
        <w:t>举办的各类重要会议，经贸交流等重大活动日益增多，会展业蓬勃发展，重大活动食品安全保障任务日益艰巨。据统计，2021年度</w:t>
      </w:r>
      <w:r>
        <w:rPr>
          <w:rFonts w:ascii="仿宋_GB2312" w:eastAsia="仿宋_GB2312" w:hint="eastAsia"/>
          <w:sz w:val="32"/>
          <w:szCs w:val="32"/>
          <w:lang w:val="en-US" w:eastAsia="zh-CN"/>
        </w:rPr>
        <w:t>长沙市市场监督管理局</w:t>
      </w:r>
      <w:r>
        <w:rPr>
          <w:rFonts w:ascii="仿宋_GB2312" w:eastAsia="仿宋_GB2312" w:hint="eastAsia"/>
          <w:sz w:val="32"/>
          <w:szCs w:val="32"/>
        </w:rPr>
        <w:t>共参与保障任务达100余场次</w:t>
      </w:r>
      <w:r>
        <w:rPr>
          <w:rFonts w:ascii="仿宋_GB2312" w:eastAsia="仿宋_GB2312" w:hint="eastAsia"/>
          <w:sz w:val="32"/>
          <w:szCs w:val="32"/>
          <w:lang w:eastAsia="zh-CN"/>
        </w:rPr>
        <w:t>，</w:t>
      </w:r>
      <w:r>
        <w:rPr>
          <w:rFonts w:ascii="仿宋_GB2312" w:eastAsia="仿宋_GB2312" w:hint="eastAsia"/>
          <w:sz w:val="32"/>
          <w:szCs w:val="32"/>
          <w:lang w:val="en-US" w:eastAsia="zh-CN"/>
        </w:rPr>
        <w:t>2022年因疫情影响有所减少。</w:t>
      </w:r>
      <w:r>
        <w:rPr>
          <w:rFonts w:ascii="仿宋_GB2312" w:eastAsia="仿宋_GB2312" w:hint="eastAsia"/>
          <w:sz w:val="32"/>
          <w:szCs w:val="32"/>
        </w:rPr>
        <w:t>为规范</w:t>
      </w:r>
      <w:r>
        <w:rPr>
          <w:rFonts w:ascii="仿宋_GB2312" w:eastAsia="仿宋_GB2312" w:hint="eastAsia"/>
          <w:sz w:val="32"/>
          <w:szCs w:val="32"/>
          <w:lang w:val="en-US" w:eastAsia="zh-CN"/>
        </w:rPr>
        <w:t>长沙市</w:t>
      </w:r>
      <w:r>
        <w:rPr>
          <w:rFonts w:ascii="仿宋_GB2312" w:eastAsia="仿宋_GB2312" w:hint="eastAsia"/>
          <w:sz w:val="32"/>
          <w:szCs w:val="32"/>
        </w:rPr>
        <w:t>重大活动食品安全保障工作，明确重大活动食品安全保障工作的要求和职责，进一步建立健全重大活动食品安全保障工作机制体制，制定重大活动食品安全管理规范性地方标准的需求突出。</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原国家食药总局2011年公布《重大活动餐饮服务食品安全监督管理规范》，为全国各项重大活动餐饮服务的食品安全提供理论指导，本办法具有全国通用性，</w:t>
      </w:r>
      <w:r>
        <w:rPr>
          <w:rFonts w:ascii="仿宋_GB2312" w:eastAsia="仿宋_GB2312" w:hint="eastAsia"/>
          <w:sz w:val="32"/>
          <w:szCs w:val="32"/>
          <w:lang w:val="en-US" w:eastAsia="zh-CN"/>
        </w:rPr>
        <w:t>但对于有特色或特殊要求的，或近几年新的标准规定，</w:t>
      </w:r>
      <w:r>
        <w:rPr>
          <w:rFonts w:ascii="仿宋_GB2312" w:eastAsia="仿宋_GB2312" w:hint="eastAsia"/>
          <w:sz w:val="32"/>
          <w:szCs w:val="32"/>
        </w:rPr>
        <w:t>需要再根据当地情况进行</w:t>
      </w:r>
      <w:r>
        <w:rPr>
          <w:rFonts w:ascii="仿宋_GB2312" w:eastAsia="仿宋_GB2312" w:hint="eastAsia"/>
          <w:sz w:val="32"/>
          <w:szCs w:val="32"/>
          <w:lang w:val="en-US" w:eastAsia="zh-CN"/>
        </w:rPr>
        <w:t>补充和细化</w:t>
      </w:r>
      <w:r>
        <w:rPr>
          <w:rFonts w:ascii="仿宋_GB2312" w:eastAsia="仿宋_GB2312" w:hint="eastAsia"/>
          <w:sz w:val="32"/>
          <w:szCs w:val="32"/>
        </w:rPr>
        <w:t>，鉴于以上情况，长沙市市场监督管理局</w:t>
      </w:r>
      <w:r>
        <w:rPr>
          <w:rFonts w:ascii="仿宋_GB2312" w:eastAsia="仿宋_GB2312" w:hint="eastAsia"/>
          <w:sz w:val="32"/>
          <w:szCs w:val="32"/>
          <w:lang w:eastAsia="zh-CN"/>
        </w:rPr>
        <w:t>提出</w:t>
      </w:r>
      <w:r>
        <w:rPr>
          <w:rFonts w:ascii="仿宋_GB2312" w:eastAsia="仿宋_GB2312" w:hint="eastAsia"/>
          <w:sz w:val="32"/>
          <w:szCs w:val="32"/>
        </w:rPr>
        <w:t xml:space="preserve">制定《长沙市重大活动食品安全管理规范》地方标准，此标准的制定具有以下意义： </w:t>
      </w:r>
    </w:p>
    <w:p>
      <w:pPr>
        <w:spacing w:line="360" w:lineRule="auto"/>
        <w:ind w:firstLineChars="200" w:firstLine="640"/>
        <w:rPr>
          <w:rFonts w:ascii="楷体" w:eastAsia="楷体" w:cs="楷体" w:hint="eastAsia"/>
          <w:sz w:val="32"/>
          <w:szCs w:val="32"/>
          <w:lang w:eastAsia="zh-CN"/>
        </w:rPr>
      </w:pPr>
      <w:r>
        <w:rPr>
          <w:rFonts w:ascii="楷体" w:eastAsia="楷体" w:cs="楷体" w:hint="eastAsia"/>
          <w:sz w:val="32"/>
          <w:szCs w:val="32"/>
          <w:lang w:eastAsia="zh-CN"/>
        </w:rPr>
        <w:t>（一）</w:t>
      </w:r>
      <w:r>
        <w:rPr>
          <w:rFonts w:ascii="楷体" w:eastAsia="楷体" w:cs="楷体" w:hint="eastAsia"/>
          <w:sz w:val="32"/>
          <w:szCs w:val="32"/>
        </w:rPr>
        <w:t>细化重大活动食品安全管理问题</w:t>
      </w:r>
      <w:r>
        <w:rPr>
          <w:rFonts w:ascii="楷体" w:eastAsia="楷体" w:cs="楷体" w:hint="eastAsia"/>
          <w:sz w:val="32"/>
          <w:szCs w:val="32"/>
          <w:lang w:eastAsia="zh-CN"/>
        </w:rPr>
        <w:t>。</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近年来，长沙市承办的重大活动出现</w:t>
      </w:r>
      <w:r>
        <w:rPr>
          <w:rFonts w:ascii="仿宋_GB2312" w:eastAsia="仿宋_GB2312" w:hint="eastAsia"/>
          <w:sz w:val="32"/>
          <w:szCs w:val="32"/>
          <w:lang w:val="en-US" w:eastAsia="zh-CN"/>
        </w:rPr>
        <w:t>过</w:t>
      </w:r>
      <w:r>
        <w:rPr>
          <w:rFonts w:ascii="仿宋_GB2312" w:eastAsia="仿宋_GB2312" w:hint="eastAsia"/>
          <w:sz w:val="32"/>
          <w:szCs w:val="32"/>
        </w:rPr>
        <w:t>流程衔接不顺畅、主体责任落实不明确等问题。因此，明确重大活动举办过程中各相关方职责，根据重大活动举办流程细化监督管理内容，坚持预防为主的原则，强调落实主体责任，确保工作开展有依据、食品安全有保障。</w:t>
      </w:r>
    </w:p>
    <w:p>
      <w:pPr>
        <w:spacing w:line="360" w:lineRule="auto"/>
        <w:ind w:firstLineChars="200" w:firstLine="640"/>
        <w:rPr>
          <w:rFonts w:ascii="楷体" w:eastAsia="楷体" w:cs="楷体" w:hint="eastAsia"/>
          <w:sz w:val="32"/>
          <w:szCs w:val="32"/>
          <w:lang w:eastAsia="zh-CN"/>
        </w:rPr>
      </w:pPr>
      <w:r>
        <w:rPr>
          <w:rFonts w:ascii="楷体" w:eastAsia="楷体" w:cs="楷体" w:hint="eastAsia"/>
          <w:sz w:val="32"/>
          <w:szCs w:val="32"/>
          <w:lang w:eastAsia="zh-CN"/>
        </w:rPr>
        <w:t>（二）</w:t>
      </w:r>
      <w:r>
        <w:rPr>
          <w:rFonts w:ascii="楷体" w:eastAsia="楷体" w:cs="楷体" w:hint="eastAsia"/>
          <w:sz w:val="32"/>
          <w:szCs w:val="32"/>
        </w:rPr>
        <w:t>为国家食品安全示范城市创建成果持续助力</w:t>
      </w:r>
      <w:r>
        <w:rPr>
          <w:rFonts w:ascii="楷体" w:eastAsia="楷体" w:cs="楷体" w:hint="eastAsia"/>
          <w:sz w:val="32"/>
          <w:szCs w:val="32"/>
          <w:lang w:eastAsia="zh-CN"/>
        </w:rPr>
        <w:t>。</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长沙市是中国（大陆）国际形象最佳城市之一、东亚文化之都、世界“媒体艺术之都”，也是国内旅游名称、美食之都、网红城市。2021年长沙市通过第二批国家食品安全示范城市创建成果复评，国际性的经济、文化和体育等领域的交流将越来越频繁，因此需继续提高管理水平，保持国家食品安全示范城市创建成果</w:t>
      </w:r>
      <w:r>
        <w:rPr>
          <w:rFonts w:ascii="仿宋_GB2312" w:eastAsia="仿宋_GB2312" w:hint="eastAsia"/>
          <w:sz w:val="32"/>
          <w:szCs w:val="32"/>
          <w:lang w:eastAsia="zh-CN"/>
        </w:rPr>
        <w:t>，</w:t>
      </w:r>
      <w:r>
        <w:rPr>
          <w:rFonts w:ascii="仿宋_GB2312" w:eastAsia="仿宋_GB2312" w:hint="eastAsia"/>
          <w:sz w:val="32"/>
          <w:szCs w:val="32"/>
        </w:rPr>
        <w:t>编制《长沙市重大活动食品安全管理规范》可为长沙市提升城市形象和影响力提供保障。</w:t>
      </w:r>
    </w:p>
    <w:p>
      <w:pPr>
        <w:spacing w:line="360" w:lineRule="auto"/>
        <w:ind w:firstLineChars="200" w:firstLine="640"/>
        <w:rPr>
          <w:rFonts w:ascii="楷体" w:eastAsia="楷体" w:cs="楷体" w:hint="eastAsia"/>
          <w:sz w:val="32"/>
          <w:szCs w:val="32"/>
          <w:lang w:eastAsia="zh-CN"/>
        </w:rPr>
      </w:pPr>
      <w:r>
        <w:rPr>
          <w:rFonts w:ascii="楷体" w:eastAsia="楷体" w:cs="楷体" w:hint="eastAsia"/>
          <w:sz w:val="32"/>
          <w:szCs w:val="32"/>
          <w:lang w:eastAsia="zh-CN"/>
        </w:rPr>
        <w:t>（三）</w:t>
      </w:r>
      <w:r>
        <w:rPr>
          <w:rFonts w:ascii="楷体" w:eastAsia="楷体" w:cs="楷体" w:hint="eastAsia"/>
          <w:sz w:val="32"/>
          <w:szCs w:val="32"/>
        </w:rPr>
        <w:t>有利于提高长沙市食品安全管理水平</w:t>
      </w:r>
      <w:r>
        <w:rPr>
          <w:rFonts w:ascii="楷体" w:eastAsia="楷体" w:cs="楷体" w:hint="eastAsia"/>
          <w:sz w:val="32"/>
          <w:szCs w:val="32"/>
          <w:lang w:eastAsia="zh-CN"/>
        </w:rPr>
        <w:t>。</w:t>
      </w:r>
    </w:p>
    <w:p>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标准制定依据现行法律法规等要求，结合管理需求和地方特性，填补法规空缺项，明确管理方法和步骤，进一步指导重大活动食品安全管理各相关方对食品安全关键控制点精准管理，使管理更加规范、可操作性</w:t>
      </w:r>
      <w:r>
        <w:rPr>
          <w:rFonts w:ascii="仿宋_GB2312" w:eastAsia="仿宋_GB2312" w:hint="eastAsia"/>
          <w:sz w:val="32"/>
          <w:szCs w:val="32"/>
          <w:lang w:val="en-US" w:eastAsia="zh-CN"/>
        </w:rPr>
        <w:t>更</w:t>
      </w:r>
      <w:r>
        <w:rPr>
          <w:rFonts w:ascii="仿宋_GB2312" w:eastAsia="仿宋_GB2312" w:hint="eastAsia"/>
          <w:sz w:val="32"/>
          <w:szCs w:val="32"/>
        </w:rPr>
        <w:t>强。</w:t>
      </w:r>
    </w:p>
    <w:p>
      <w:pPr>
        <w:widowControl/>
        <w:spacing w:line="360" w:lineRule="auto"/>
        <w:ind w:firstLineChars="200" w:firstLine="640"/>
        <w:jc w:val="left"/>
        <w:rPr>
          <w:rFonts w:ascii="黑体" w:eastAsia="黑体" w:cs="黑体"/>
          <w:color w:val="000000"/>
          <w:kern w:val="0"/>
          <w:sz w:val="32"/>
          <w:szCs w:val="32"/>
        </w:rPr>
      </w:pPr>
      <w:r>
        <w:rPr>
          <w:rFonts w:ascii="黑体" w:eastAsia="黑体" w:cs="黑体" w:hint="eastAsia"/>
          <w:color w:val="000000"/>
          <w:kern w:val="0"/>
          <w:sz w:val="32"/>
          <w:szCs w:val="32"/>
        </w:rPr>
        <w:t>二、任务来源</w:t>
      </w:r>
    </w:p>
    <w:p>
      <w:pPr>
        <w:spacing w:line="360" w:lineRule="auto"/>
        <w:ind w:firstLineChars="200" w:firstLine="640"/>
        <w:rPr>
          <w:rFonts w:ascii="仿宋_GB2312" w:eastAsia="仿宋_GB2312" w:hint="eastAsia"/>
          <w:kern w:val="0"/>
          <w:sz w:val="32"/>
          <w:szCs w:val="32"/>
        </w:rPr>
      </w:pPr>
      <w:r>
        <w:rPr>
          <w:rFonts w:ascii="仿宋_GB2312" w:eastAsia="仿宋_GB2312" w:hint="eastAsia"/>
          <w:sz w:val="32"/>
          <w:szCs w:val="32"/>
          <w:lang w:val="en-US" w:eastAsia="zh-CN"/>
        </w:rPr>
        <w:t>鉴于以上情况，长沙市市场监督管理局向湖南省市场监督管理局</w:t>
      </w:r>
      <w:r>
        <w:rPr>
          <w:rFonts w:ascii="仿宋_GB2312" w:eastAsia="仿宋_GB2312" w:hint="eastAsia"/>
          <w:sz w:val="32"/>
          <w:szCs w:val="32"/>
        </w:rPr>
        <w:t>申请制定</w:t>
      </w:r>
      <w:r>
        <w:rPr>
          <w:rFonts w:ascii="仿宋_GB2312" w:eastAsia="仿宋_GB2312" w:hint="eastAsia"/>
          <w:sz w:val="32"/>
          <w:szCs w:val="32"/>
          <w:lang w:eastAsia="zh-CN"/>
        </w:rPr>
        <w:t>长沙市</w:t>
      </w:r>
      <w:r>
        <w:rPr>
          <w:rFonts w:ascii="仿宋_GB2312" w:eastAsia="仿宋_GB2312" w:hint="eastAsia"/>
          <w:sz w:val="32"/>
          <w:szCs w:val="32"/>
        </w:rPr>
        <w:t>地方性标准《长沙市重大活动食品安全管理规范标准》。</w:t>
      </w:r>
      <w:r>
        <w:rPr>
          <w:rFonts w:ascii="仿宋_GB2312" w:eastAsia="仿宋_GB2312" w:hint="eastAsia"/>
          <w:sz w:val="32"/>
          <w:szCs w:val="32"/>
          <w:lang w:val="en-US" w:eastAsia="zh-CN"/>
        </w:rPr>
        <w:t>2022年9月，收到批复</w:t>
      </w:r>
      <w:r>
        <w:rPr>
          <w:rFonts w:ascii="仿宋_GB2312" w:eastAsia="仿宋_GB2312" w:hint="eastAsia"/>
          <w:kern w:val="0"/>
          <w:sz w:val="32"/>
          <w:szCs w:val="32"/>
        </w:rPr>
        <w:t>文件《湖南省市场监督管理局关于设区的市地方标准制定项目立项的批复》（湘市监标[2022]116号），批复</w:t>
      </w:r>
      <w:r>
        <w:rPr>
          <w:rFonts w:ascii="仿宋_GB2312" w:eastAsia="仿宋_GB2312" w:hint="eastAsia"/>
          <w:kern w:val="0"/>
          <w:sz w:val="32"/>
          <w:szCs w:val="32"/>
          <w:lang w:eastAsia="zh-CN"/>
        </w:rPr>
        <w:t>同意立项</w:t>
      </w:r>
      <w:r>
        <w:rPr>
          <w:rFonts w:ascii="仿宋_GB2312" w:eastAsia="仿宋_GB2312" w:hint="eastAsia"/>
          <w:kern w:val="0"/>
          <w:sz w:val="32"/>
          <w:szCs w:val="32"/>
        </w:rPr>
        <w:t>。</w:t>
      </w:r>
    </w:p>
    <w:p>
      <w:pPr>
        <w:spacing w:line="360" w:lineRule="auto"/>
        <w:ind w:firstLineChars="200" w:firstLine="640"/>
        <w:rPr>
          <w:rFonts w:ascii="仿宋_GB2312" w:eastAsia="仿宋_GB2312" w:hint="eastAsia"/>
          <w:kern w:val="0"/>
          <w:sz w:val="32"/>
          <w:szCs w:val="32"/>
        </w:rPr>
      </w:pPr>
    </w:p>
    <w:p>
      <w:pPr>
        <w:spacing w:line="360" w:lineRule="auto"/>
        <w:ind w:firstLineChars="200" w:firstLine="640"/>
        <w:rPr>
          <w:rFonts w:ascii="仿宋_GB2312" w:eastAsia="仿宋_GB2312" w:hint="eastAsia"/>
          <w:kern w:val="0"/>
          <w:sz w:val="32"/>
          <w:szCs w:val="32"/>
        </w:rPr>
      </w:pPr>
    </w:p>
    <w:p>
      <w:pPr>
        <w:widowControl/>
        <w:spacing w:line="360" w:lineRule="auto"/>
        <w:ind w:firstLineChars="200" w:firstLine="640"/>
        <w:jc w:val="left"/>
        <w:rPr>
          <w:rFonts w:ascii="黑体" w:eastAsia="黑体" w:cs="黑体"/>
          <w:color w:val="000000"/>
          <w:kern w:val="0"/>
          <w:sz w:val="30"/>
          <w:szCs w:val="30"/>
        </w:rPr>
      </w:pPr>
      <w:r>
        <w:rPr>
          <w:rFonts w:ascii="黑体" w:eastAsia="黑体" w:cs="黑体" w:hint="eastAsia"/>
          <w:color w:val="000000"/>
          <w:kern w:val="0"/>
          <w:sz w:val="32"/>
          <w:szCs w:val="32"/>
        </w:rPr>
        <w:t>三、编制过程</w:t>
      </w:r>
    </w:p>
    <w:p>
      <w:pPr>
        <w:spacing w:line="360" w:lineRule="auto"/>
        <w:ind w:firstLineChars="200" w:firstLine="640"/>
        <w:rPr>
          <w:rFonts w:ascii="宋体" w:eastAsia="宋体" w:cs="宋体"/>
          <w:color w:val="FF0000"/>
          <w:kern w:val="0"/>
          <w:sz w:val="32"/>
          <w:szCs w:val="32"/>
        </w:rPr>
      </w:pPr>
      <w:r>
        <w:rPr>
          <w:rFonts w:ascii="仿宋_GB2312" w:eastAsia="仿宋_GB2312" w:hint="eastAsia"/>
          <w:kern w:val="0"/>
          <w:sz w:val="32"/>
          <w:szCs w:val="32"/>
        </w:rPr>
        <w:t>本文件在起草过程中进行了多次调研与讨论，通过对标准内容进行多次的修改和完善，形成了目前的标准文本。主要编制过程包括以下几个阶段</w:t>
      </w:r>
      <w:r>
        <w:rPr>
          <w:rFonts w:ascii="仿宋_GB2312" w:eastAsia="仿宋_GB2312"/>
          <w:kern w:val="0"/>
          <w:sz w:val="32"/>
          <w:szCs w:val="32"/>
        </w:rPr>
        <w:t>: </w:t>
      </w:r>
    </w:p>
    <w:p>
      <w:pPr>
        <w:spacing w:line="360" w:lineRule="auto"/>
        <w:ind w:firstLineChars="200" w:firstLine="640"/>
        <w:rPr>
          <w:rFonts w:ascii="楷体" w:eastAsia="楷体" w:cs="楷体" w:hint="eastAsia"/>
          <w:kern w:val="0"/>
          <w:sz w:val="32"/>
          <w:szCs w:val="32"/>
          <w:lang w:eastAsia="zh-CN"/>
        </w:rPr>
      </w:pPr>
      <w:r>
        <w:rPr>
          <w:rFonts w:ascii="楷体" w:eastAsia="楷体" w:cs="楷体" w:hint="eastAsia"/>
          <w:kern w:val="0"/>
          <w:sz w:val="32"/>
          <w:szCs w:val="32"/>
          <w:lang w:eastAsia="zh-CN"/>
        </w:rPr>
        <w:t>（一）</w:t>
      </w:r>
      <w:r>
        <w:rPr>
          <w:rFonts w:ascii="楷体" w:eastAsia="楷体" w:cs="楷体" w:hint="eastAsia"/>
          <w:kern w:val="0"/>
          <w:sz w:val="32"/>
          <w:szCs w:val="32"/>
        </w:rPr>
        <w:t>标准立项申报</w:t>
      </w:r>
      <w:r>
        <w:rPr>
          <w:rFonts w:ascii="楷体" w:eastAsia="楷体" w:cs="楷体" w:hint="eastAsia"/>
          <w:kern w:val="0"/>
          <w:sz w:val="32"/>
          <w:szCs w:val="32"/>
          <w:lang w:eastAsia="zh-CN"/>
        </w:rPr>
        <w:t>。</w:t>
      </w:r>
    </w:p>
    <w:p>
      <w:pPr>
        <w:spacing w:line="360" w:lineRule="auto"/>
        <w:ind w:firstLineChars="200" w:firstLine="640"/>
        <w:rPr>
          <w:rFonts w:ascii="仿宋_GB2312" w:eastAsia="仿宋_GB2312" w:hint="eastAsia"/>
          <w:kern w:val="0"/>
          <w:sz w:val="32"/>
          <w:szCs w:val="32"/>
        </w:rPr>
      </w:pPr>
      <w:r>
        <w:rPr>
          <w:rFonts w:ascii="仿宋_GB2312" w:eastAsia="仿宋_GB2312" w:hint="eastAsia"/>
          <w:kern w:val="0"/>
          <w:sz w:val="32"/>
          <w:szCs w:val="32"/>
        </w:rPr>
        <w:t>受长沙市市场监督管理</w:t>
      </w:r>
      <w:r>
        <w:rPr>
          <w:rFonts w:ascii="仿宋_GB2312" w:eastAsia="仿宋_GB2312" w:hint="eastAsia"/>
          <w:color w:val="auto"/>
          <w:kern w:val="0"/>
          <w:sz w:val="32"/>
          <w:szCs w:val="32"/>
        </w:rPr>
        <w:t>局餐</w:t>
      </w:r>
      <w:r>
        <w:rPr>
          <w:rFonts w:ascii="仿宋_GB2312" w:eastAsia="仿宋_GB2312" w:hint="eastAsia"/>
          <w:kern w:val="0"/>
          <w:sz w:val="32"/>
          <w:szCs w:val="32"/>
        </w:rPr>
        <w:t>饮</w:t>
      </w:r>
      <w:r>
        <w:rPr>
          <w:rFonts w:ascii="仿宋_GB2312" w:eastAsia="仿宋_GB2312" w:hint="eastAsia"/>
          <w:kern w:val="0"/>
          <w:sz w:val="32"/>
          <w:szCs w:val="32"/>
          <w:lang w:eastAsia="zh-CN"/>
        </w:rPr>
        <w:t>监管</w:t>
      </w:r>
      <w:r>
        <w:rPr>
          <w:rFonts w:ascii="仿宋_GB2312" w:eastAsia="仿宋_GB2312" w:hint="eastAsia"/>
          <w:kern w:val="0"/>
          <w:sz w:val="32"/>
          <w:szCs w:val="32"/>
        </w:rPr>
        <w:t>处委托，湖南品标华测检测技术有限公司在经过1个月前期调研的基础上，于2022年7月向湖南省市场监督管理局提出了长沙市地方标准《长沙市重大活动食品安全管理规范》的立项申请。2022年9月，根据文件《湖南省市场监督管理局关于设区的市地方标准制定项目立项的批复》（湘市监标[2022]116号），批复</w:t>
      </w:r>
      <w:r>
        <w:rPr>
          <w:rFonts w:ascii="仿宋_GB2312" w:eastAsia="仿宋_GB2312" w:hint="eastAsia"/>
          <w:kern w:val="0"/>
          <w:sz w:val="32"/>
          <w:szCs w:val="32"/>
          <w:lang w:eastAsia="zh-CN"/>
        </w:rPr>
        <w:t>同意立项</w:t>
      </w:r>
      <w:r>
        <w:rPr>
          <w:rFonts w:ascii="仿宋_GB2312" w:eastAsia="仿宋_GB2312" w:hint="eastAsia"/>
          <w:kern w:val="0"/>
          <w:sz w:val="32"/>
          <w:szCs w:val="32"/>
        </w:rPr>
        <w:t>。</w:t>
      </w:r>
    </w:p>
    <w:p>
      <w:pPr>
        <w:spacing w:line="360" w:lineRule="auto"/>
        <w:ind w:firstLineChars="200" w:firstLine="640"/>
        <w:rPr>
          <w:rFonts w:ascii="仿宋_GB2312" w:eastAsia="楷体" w:hAnsi="仿宋_GB2312" w:hint="eastAsia"/>
          <w:kern w:val="0"/>
          <w:sz w:val="32"/>
          <w:szCs w:val="32"/>
          <w:lang w:eastAsia="zh-CN"/>
        </w:rPr>
      </w:pPr>
      <w:r>
        <w:rPr>
          <w:rFonts w:ascii="楷体" w:eastAsia="楷体" w:cs="楷体" w:hint="eastAsia"/>
          <w:kern w:val="0"/>
          <w:sz w:val="32"/>
          <w:szCs w:val="32"/>
          <w:lang w:eastAsia="zh-CN"/>
        </w:rPr>
        <w:t>（二）</w:t>
      </w:r>
      <w:r>
        <w:rPr>
          <w:rFonts w:ascii="楷体" w:eastAsia="楷体" w:cs="楷体" w:hint="eastAsia"/>
          <w:kern w:val="0"/>
          <w:sz w:val="32"/>
          <w:szCs w:val="32"/>
        </w:rPr>
        <w:t>准备阶段</w:t>
      </w:r>
      <w:r>
        <w:rPr>
          <w:rFonts w:ascii="楷体" w:eastAsia="楷体" w:cs="楷体" w:hint="eastAsia"/>
          <w:kern w:val="0"/>
          <w:sz w:val="32"/>
          <w:szCs w:val="32"/>
          <w:lang w:eastAsia="zh-CN"/>
        </w:rPr>
        <w:t>。</w:t>
      </w:r>
    </w:p>
    <w:p>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在批复</w:t>
      </w:r>
      <w:r>
        <w:rPr>
          <w:rFonts w:ascii="仿宋_GB2312" w:eastAsia="仿宋_GB2312" w:hint="eastAsia"/>
          <w:kern w:val="0"/>
          <w:sz w:val="32"/>
          <w:szCs w:val="32"/>
          <w:lang w:eastAsia="zh-CN"/>
        </w:rPr>
        <w:t>同意立项</w:t>
      </w:r>
      <w:r>
        <w:rPr>
          <w:rFonts w:ascii="仿宋_GB2312" w:eastAsia="仿宋_GB2312" w:hint="eastAsia"/>
          <w:kern w:val="0"/>
          <w:sz w:val="32"/>
          <w:szCs w:val="32"/>
        </w:rPr>
        <w:t>后，湖南品标华测检测技术有限公司组织成立了标准起草工作组，承担《长沙市重大活动食品安全管理规范》标准起草、修订工作。通过访谈和问卷调查的方式，开展标准的前期调研工作，并走访了</w:t>
      </w:r>
      <w:r>
        <w:rPr>
          <w:rFonts w:ascii="仿宋_GB2312" w:eastAsia="仿宋_GB2312" w:hint="eastAsia"/>
          <w:kern w:val="0"/>
          <w:sz w:val="32"/>
          <w:szCs w:val="32"/>
          <w:lang w:val="en-US" w:eastAsia="zh-CN"/>
        </w:rPr>
        <w:t>长沙市</w:t>
      </w:r>
      <w:r>
        <w:rPr>
          <w:rFonts w:ascii="仿宋_GB2312" w:eastAsia="仿宋_GB2312" w:hint="eastAsia"/>
          <w:kern w:val="0"/>
          <w:sz w:val="32"/>
          <w:szCs w:val="32"/>
        </w:rPr>
        <w:t>湖南宾馆、世纪金源酒店、</w:t>
      </w:r>
      <w:r>
        <w:rPr>
          <w:rFonts w:ascii="仿宋_GB2312" w:eastAsia="仿宋_GB2312" w:hint="eastAsia"/>
          <w:color w:val="auto"/>
          <w:kern w:val="0"/>
          <w:sz w:val="32"/>
          <w:szCs w:val="32"/>
        </w:rPr>
        <w:t>湖南徐记酒店管理有限公司、辣妹子食品股份有限公司等多家企业，拜访了长沙市芙蓉区市场监督管理局及其下属2个街道所，重点与长沙市市场监督管理局餐饮管理处进行沟通</w:t>
      </w:r>
      <w:r>
        <w:rPr>
          <w:rFonts w:ascii="仿宋_GB2312" w:eastAsia="仿宋_GB2312" w:hint="eastAsia"/>
          <w:kern w:val="0"/>
          <w:sz w:val="32"/>
          <w:szCs w:val="32"/>
        </w:rPr>
        <w:t>交流。收集、整理了重大活动食品安全工作状况、存在问题、各相关方需求等情况。分析了相关调查材料，形成了</w:t>
      </w:r>
      <w:r>
        <w:rPr>
          <w:rFonts w:ascii="仿宋_GB2312" w:eastAsia="仿宋_GB2312" w:hint="eastAsia"/>
          <w:kern w:val="0"/>
          <w:sz w:val="32"/>
          <w:szCs w:val="32"/>
          <w:lang w:val="en-US" w:eastAsia="zh-CN"/>
        </w:rPr>
        <w:t>调研</w:t>
      </w:r>
      <w:r>
        <w:rPr>
          <w:rFonts w:ascii="仿宋_GB2312" w:eastAsia="仿宋_GB2312" w:hint="eastAsia"/>
          <w:kern w:val="0"/>
          <w:sz w:val="32"/>
          <w:szCs w:val="32"/>
        </w:rPr>
        <w:t>报告。</w:t>
      </w:r>
    </w:p>
    <w:p>
      <w:pPr>
        <w:spacing w:line="360" w:lineRule="auto"/>
        <w:ind w:firstLineChars="200" w:firstLine="640"/>
        <w:rPr>
          <w:rFonts w:ascii="楷体" w:eastAsia="楷体" w:cs="楷体" w:hint="eastAsia"/>
          <w:kern w:val="0"/>
          <w:sz w:val="32"/>
          <w:szCs w:val="32"/>
          <w:lang w:eastAsia="zh-CN"/>
        </w:rPr>
      </w:pPr>
      <w:r>
        <w:rPr>
          <w:rFonts w:ascii="楷体" w:eastAsia="楷体" w:cs="楷体" w:hint="eastAsia"/>
          <w:kern w:val="0"/>
          <w:sz w:val="32"/>
          <w:szCs w:val="32"/>
          <w:lang w:eastAsia="zh-CN"/>
        </w:rPr>
        <w:t>（三）</w:t>
      </w:r>
      <w:r>
        <w:rPr>
          <w:rFonts w:ascii="楷体" w:eastAsia="楷体" w:cs="楷体" w:hint="eastAsia"/>
          <w:kern w:val="0"/>
          <w:sz w:val="32"/>
          <w:szCs w:val="32"/>
        </w:rPr>
        <w:t>起草阶段</w:t>
      </w:r>
      <w:r>
        <w:rPr>
          <w:rFonts w:ascii="楷体" w:eastAsia="楷体" w:cs="楷体" w:hint="eastAsia"/>
          <w:kern w:val="0"/>
          <w:sz w:val="32"/>
          <w:szCs w:val="32"/>
          <w:lang w:eastAsia="zh-CN"/>
        </w:rPr>
        <w:t>。</w:t>
      </w:r>
    </w:p>
    <w:p>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编制小组根据收集的资料和调研报告，讨论了标准的基本结构与框架，在工作进度方面达成了共识。经过编制小组成员多次修改与讨论，在2022年10月上旬形成了工作组讨论稿。</w:t>
      </w:r>
    </w:p>
    <w:p>
      <w:pPr>
        <w:spacing w:line="360" w:lineRule="auto"/>
        <w:ind w:firstLineChars="200" w:firstLine="640"/>
        <w:rPr>
          <w:rFonts w:ascii="楷体" w:eastAsia="楷体" w:cs="楷体" w:hint="eastAsia"/>
          <w:kern w:val="0"/>
          <w:sz w:val="32"/>
          <w:szCs w:val="32"/>
          <w:lang w:eastAsia="zh-CN"/>
        </w:rPr>
      </w:pPr>
      <w:r>
        <w:rPr>
          <w:rFonts w:ascii="楷体" w:eastAsia="楷体" w:cs="楷体" w:hint="eastAsia"/>
          <w:kern w:val="0"/>
          <w:sz w:val="32"/>
          <w:szCs w:val="32"/>
          <w:lang w:eastAsia="zh-CN"/>
        </w:rPr>
        <w:t>（四）</w:t>
      </w:r>
      <w:r>
        <w:rPr>
          <w:rFonts w:ascii="楷体" w:eastAsia="楷体" w:cs="楷体" w:hint="eastAsia"/>
          <w:kern w:val="0"/>
          <w:sz w:val="32"/>
          <w:szCs w:val="32"/>
        </w:rPr>
        <w:t>征求意见稿形成</w:t>
      </w:r>
      <w:r>
        <w:rPr>
          <w:rFonts w:ascii="楷体" w:eastAsia="楷体" w:cs="楷体" w:hint="eastAsia"/>
          <w:kern w:val="0"/>
          <w:sz w:val="32"/>
          <w:szCs w:val="32"/>
          <w:lang w:eastAsia="zh-CN"/>
        </w:rPr>
        <w:t>。</w:t>
      </w:r>
    </w:p>
    <w:p>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编制小组多次召开了标准草案研讨会，通过向食品安全监管部门、卫生部门、标准化机构、检验检测机构、法律行业和餐饮行业协会等领域专家多方征求意见，对标准草案进行修改、调整、完善。于2022年11月形成标准征求意见稿及编制说明。</w:t>
      </w:r>
    </w:p>
    <w:p>
      <w:pPr>
        <w:widowControl/>
        <w:spacing w:line="360" w:lineRule="auto"/>
        <w:ind w:firstLineChars="200" w:firstLine="640"/>
        <w:jc w:val="left"/>
        <w:rPr>
          <w:rFonts w:ascii="黑体" w:eastAsia="黑体" w:cs="黑体"/>
          <w:color w:val="000000"/>
          <w:kern w:val="0"/>
          <w:sz w:val="30"/>
          <w:szCs w:val="30"/>
        </w:rPr>
      </w:pPr>
      <w:r>
        <w:rPr>
          <w:rFonts w:ascii="黑体" w:eastAsia="黑体" w:cs="黑体" w:hint="eastAsia"/>
          <w:b w:val="0"/>
          <w:bCs w:val="0"/>
          <w:color w:val="000000"/>
          <w:kern w:val="0"/>
          <w:sz w:val="32"/>
          <w:szCs w:val="32"/>
        </w:rPr>
        <w:t>四、主要内容技术指标确立</w:t>
      </w:r>
    </w:p>
    <w:p>
      <w:pPr>
        <w:spacing w:line="360" w:lineRule="auto"/>
        <w:ind w:firstLineChars="200" w:firstLine="640"/>
        <w:rPr>
          <w:rFonts w:ascii="仿宋_GB2312" w:eastAsia="楷体" w:hAnsi="仿宋_GB2312" w:hint="eastAsia"/>
          <w:kern w:val="0"/>
          <w:sz w:val="32"/>
          <w:szCs w:val="32"/>
          <w:lang w:eastAsia="zh-CN"/>
        </w:rPr>
      </w:pPr>
      <w:r>
        <w:rPr>
          <w:rFonts w:ascii="楷体" w:eastAsia="楷体" w:cs="楷体" w:hint="eastAsia"/>
          <w:kern w:val="0"/>
          <w:sz w:val="32"/>
          <w:szCs w:val="32"/>
          <w:lang w:eastAsia="zh-CN"/>
        </w:rPr>
        <w:t>（一）</w:t>
      </w:r>
      <w:r>
        <w:rPr>
          <w:rFonts w:ascii="楷体" w:eastAsia="楷体" w:cs="楷体" w:hint="eastAsia"/>
          <w:kern w:val="0"/>
          <w:sz w:val="32"/>
          <w:szCs w:val="32"/>
        </w:rPr>
        <w:t>范围</w:t>
      </w:r>
      <w:r>
        <w:rPr>
          <w:rFonts w:ascii="楷体" w:eastAsia="楷体" w:cs="楷体" w:hint="eastAsia"/>
          <w:kern w:val="0"/>
          <w:sz w:val="32"/>
          <w:szCs w:val="32"/>
          <w:lang w:eastAsia="zh-CN"/>
        </w:rPr>
        <w:t>。</w:t>
      </w:r>
    </w:p>
    <w:p>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本文件规定了长沙市行政区域内重大活动食品安全管理的术语和定义、总则、食品安全职责、程序和内容、食品安全追溯和食品安全突发事件处置。</w:t>
      </w:r>
    </w:p>
    <w:p>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本文件适用于长沙市行政区域内开展的重大活动食品安全管理。</w:t>
      </w:r>
    </w:p>
    <w:p>
      <w:pPr>
        <w:spacing w:line="360" w:lineRule="auto"/>
        <w:ind w:firstLineChars="200" w:firstLine="640"/>
        <w:rPr>
          <w:rFonts w:ascii="楷体" w:eastAsia="楷体" w:cs="楷体" w:hint="eastAsia"/>
          <w:kern w:val="0"/>
          <w:sz w:val="32"/>
          <w:szCs w:val="32"/>
          <w:lang w:eastAsia="zh-CN"/>
        </w:rPr>
      </w:pPr>
      <w:r>
        <w:rPr>
          <w:rFonts w:ascii="楷体" w:eastAsia="楷体" w:cs="楷体" w:hint="eastAsia"/>
          <w:kern w:val="0"/>
          <w:sz w:val="32"/>
          <w:szCs w:val="32"/>
          <w:lang w:eastAsia="zh-CN"/>
        </w:rPr>
        <w:t>（二）</w:t>
      </w:r>
      <w:r>
        <w:rPr>
          <w:rFonts w:ascii="楷体" w:eastAsia="楷体" w:cs="楷体" w:hint="eastAsia"/>
          <w:kern w:val="0"/>
          <w:sz w:val="32"/>
          <w:szCs w:val="32"/>
        </w:rPr>
        <w:t>总则</w:t>
      </w:r>
      <w:r>
        <w:rPr>
          <w:rFonts w:ascii="楷体" w:eastAsia="楷体" w:cs="楷体" w:hint="eastAsia"/>
          <w:kern w:val="0"/>
          <w:sz w:val="32"/>
          <w:szCs w:val="32"/>
          <w:lang w:eastAsia="zh-CN"/>
        </w:rPr>
        <w:t>。</w:t>
      </w:r>
    </w:p>
    <w:p>
      <w:pPr>
        <w:widowControl/>
        <w:ind w:firstLineChars="200" w:firstLine="640"/>
        <w:jc w:val="left"/>
        <w:rPr>
          <w:rFonts w:ascii="仿宋_GB2312" w:eastAsia="仿宋_GB2312"/>
          <w:kern w:val="0"/>
          <w:sz w:val="32"/>
          <w:szCs w:val="32"/>
          <w:lang w:val="en-US" w:eastAsia="zh-CN"/>
        </w:rPr>
      </w:pPr>
      <w:r>
        <w:rPr>
          <w:rFonts w:ascii="仿宋_GB2312" w:eastAsia="仿宋_GB2312" w:hint="eastAsia"/>
          <w:kern w:val="0"/>
          <w:sz w:val="32"/>
          <w:szCs w:val="32"/>
        </w:rPr>
        <w:t>重大活动食品安全管理要求坚持预防为主、规范管理、属地负责、分级监管的原则。体现了本文件适用于所有参与重大活动食品安全管理的相关方的属性。根据重大活动特征，提出鼓励采用先进科学技术和管理规范提高管理水平以及保密的要求。</w:t>
      </w:r>
      <w:r>
        <w:rPr>
          <w:rFonts w:ascii="仿宋_GB2312" w:eastAsia="仿宋_GB2312" w:hint="eastAsia"/>
          <w:kern w:val="0"/>
          <w:sz w:val="32"/>
          <w:szCs w:val="32"/>
          <w:lang w:val="en-US" w:eastAsia="zh-CN"/>
        </w:rPr>
        <w:t>符合持续发展的科技产品或技术越来越多的应用于食品安全管理方面的趋势。</w:t>
      </w:r>
    </w:p>
    <w:p>
      <w:pPr>
        <w:spacing w:line="360" w:lineRule="auto"/>
        <w:ind w:firstLineChars="200" w:firstLine="640"/>
        <w:rPr>
          <w:rFonts w:ascii="楷体" w:eastAsia="楷体" w:cs="楷体" w:hint="eastAsia"/>
          <w:kern w:val="0"/>
          <w:sz w:val="32"/>
          <w:szCs w:val="32"/>
          <w:lang w:eastAsia="zh-CN"/>
        </w:rPr>
      </w:pPr>
      <w:r>
        <w:rPr>
          <w:rFonts w:ascii="楷体" w:eastAsia="楷体" w:cs="楷体" w:hint="eastAsia"/>
          <w:kern w:val="0"/>
          <w:sz w:val="32"/>
          <w:szCs w:val="32"/>
          <w:lang w:eastAsia="zh-CN"/>
        </w:rPr>
        <w:t>（三）</w:t>
      </w:r>
      <w:r>
        <w:rPr>
          <w:rFonts w:ascii="楷体" w:eastAsia="楷体" w:cs="楷体" w:hint="eastAsia"/>
          <w:kern w:val="0"/>
          <w:sz w:val="32"/>
          <w:szCs w:val="32"/>
        </w:rPr>
        <w:t>食品安全工作职责</w:t>
      </w:r>
      <w:r>
        <w:rPr>
          <w:rFonts w:ascii="楷体" w:eastAsia="楷体" w:cs="楷体" w:hint="eastAsia"/>
          <w:kern w:val="0"/>
          <w:sz w:val="32"/>
          <w:szCs w:val="32"/>
          <w:lang w:eastAsia="zh-CN"/>
        </w:rPr>
        <w:t>。</w:t>
      </w:r>
    </w:p>
    <w:p>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本文件对主（承）办单位、餐饮服务提供者、食品供应商和</w:t>
      </w:r>
      <w:r>
        <w:rPr>
          <w:rFonts w:ascii="仿宋_GB2312" w:eastAsia="仿宋_GB2312" w:hint="eastAsia"/>
          <w:kern w:val="0"/>
          <w:sz w:val="32"/>
          <w:szCs w:val="32"/>
          <w:lang w:eastAsia="zh-CN"/>
        </w:rPr>
        <w:t>市场</w:t>
      </w:r>
      <w:r>
        <w:rPr>
          <w:rFonts w:ascii="仿宋_GB2312" w:eastAsia="仿宋_GB2312" w:hint="eastAsia"/>
          <w:kern w:val="0"/>
          <w:sz w:val="32"/>
          <w:szCs w:val="32"/>
        </w:rPr>
        <w:t>监督管理部门的职责进行明确，其中要求活动主（承）办单位对食品安全负总责，餐饮服务提供者和食品类供应商落实企业主体责任，</w:t>
      </w:r>
      <w:r>
        <w:rPr>
          <w:rFonts w:ascii="仿宋_GB2312" w:eastAsia="仿宋_GB2312" w:hint="eastAsia"/>
          <w:kern w:val="0"/>
          <w:sz w:val="32"/>
          <w:szCs w:val="32"/>
          <w:lang w:val="en-US" w:eastAsia="zh-CN"/>
        </w:rPr>
        <w:t>市场</w:t>
      </w:r>
      <w:r>
        <w:rPr>
          <w:rFonts w:ascii="仿宋_GB2312" w:eastAsia="仿宋_GB2312" w:hint="eastAsia"/>
          <w:kern w:val="0"/>
          <w:sz w:val="32"/>
          <w:szCs w:val="32"/>
        </w:rPr>
        <w:t>监督管理部门承担食品安全监督管理主体职责。</w:t>
      </w:r>
    </w:p>
    <w:p>
      <w:pPr>
        <w:spacing w:line="360" w:lineRule="auto"/>
        <w:ind w:firstLineChars="200" w:firstLine="640"/>
        <w:rPr>
          <w:rFonts w:ascii="楷体" w:eastAsia="楷体" w:cs="楷体" w:hint="eastAsia"/>
          <w:kern w:val="0"/>
          <w:sz w:val="32"/>
          <w:szCs w:val="32"/>
          <w:lang w:eastAsia="zh-CN"/>
        </w:rPr>
      </w:pPr>
      <w:r>
        <w:rPr>
          <w:rFonts w:ascii="楷体" w:eastAsia="楷体" w:cs="楷体" w:hint="eastAsia"/>
          <w:kern w:val="0"/>
          <w:sz w:val="32"/>
          <w:szCs w:val="32"/>
          <w:lang w:eastAsia="zh-CN"/>
        </w:rPr>
        <w:t>（四）</w:t>
      </w:r>
      <w:r>
        <w:rPr>
          <w:rFonts w:ascii="楷体" w:eastAsia="楷体" w:cs="楷体" w:hint="eastAsia"/>
          <w:kern w:val="0"/>
          <w:sz w:val="32"/>
          <w:szCs w:val="32"/>
        </w:rPr>
        <w:t>程序和内容</w:t>
      </w:r>
      <w:r>
        <w:rPr>
          <w:rFonts w:ascii="楷体" w:eastAsia="楷体" w:cs="楷体" w:hint="eastAsia"/>
          <w:kern w:val="0"/>
          <w:sz w:val="32"/>
          <w:szCs w:val="32"/>
          <w:lang w:eastAsia="zh-CN"/>
        </w:rPr>
        <w:t>。</w:t>
      </w:r>
    </w:p>
    <w:p>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为了各相关方更加明确重大活动过程和在各关键控制点所要完成的</w:t>
      </w:r>
      <w:r>
        <w:rPr>
          <w:rFonts w:ascii="仿宋_GB2312" w:eastAsia="仿宋_GB2312" w:hint="eastAsia"/>
          <w:kern w:val="0"/>
          <w:sz w:val="32"/>
          <w:szCs w:val="32"/>
          <w:lang w:val="en-US" w:eastAsia="zh-CN"/>
        </w:rPr>
        <w:t>工作</w:t>
      </w:r>
      <w:r>
        <w:rPr>
          <w:rFonts w:ascii="仿宋_GB2312" w:eastAsia="仿宋_GB2312" w:hint="eastAsia"/>
          <w:kern w:val="0"/>
          <w:sz w:val="32"/>
          <w:szCs w:val="32"/>
        </w:rPr>
        <w:t>和职责，本文件根据重大活动流程顺序，在活动举办之日前“准备工作内容及要求”，对信息通报、方案制定、餐饮服务提供者遴选、人员要求、食品安全责任</w:t>
      </w:r>
      <w:r>
        <w:rPr>
          <w:rFonts w:ascii="仿宋_GB2312" w:eastAsia="仿宋_GB2312" w:hint="eastAsia"/>
          <w:kern w:val="0"/>
          <w:sz w:val="32"/>
          <w:szCs w:val="32"/>
          <w:lang w:eastAsia="zh-CN"/>
        </w:rPr>
        <w:t>承诺</w:t>
      </w:r>
      <w:r>
        <w:rPr>
          <w:rFonts w:ascii="仿宋_GB2312" w:eastAsia="仿宋_GB2312" w:hint="eastAsia"/>
          <w:kern w:val="0"/>
          <w:sz w:val="32"/>
          <w:szCs w:val="32"/>
        </w:rPr>
        <w:t>书签订、食谱制定和审核、食品安全风险评估各方面进行了明确规范；在活动举办之日起“过程监督管理”，对环境与设备设施要求、原料管理、加工过程控制、供餐、配餐、留样各关键控制环节管理明确了要求。</w:t>
      </w:r>
    </w:p>
    <w:p>
      <w:pPr>
        <w:spacing w:line="360" w:lineRule="auto"/>
        <w:ind w:firstLineChars="200" w:firstLine="640"/>
        <w:rPr>
          <w:rFonts w:ascii="楷体" w:eastAsia="楷体" w:cs="楷体" w:hint="eastAsia"/>
          <w:kern w:val="0"/>
          <w:sz w:val="32"/>
          <w:szCs w:val="32"/>
          <w:lang w:eastAsia="zh-CN"/>
        </w:rPr>
      </w:pPr>
      <w:r>
        <w:rPr>
          <w:rFonts w:ascii="楷体" w:eastAsia="楷体" w:cs="楷体" w:hint="eastAsia"/>
          <w:kern w:val="0"/>
          <w:sz w:val="32"/>
          <w:szCs w:val="32"/>
          <w:lang w:eastAsia="zh-CN"/>
        </w:rPr>
        <w:t>（五）</w:t>
      </w:r>
      <w:r>
        <w:rPr>
          <w:rFonts w:ascii="楷体" w:eastAsia="楷体" w:cs="楷体" w:hint="eastAsia"/>
          <w:kern w:val="0"/>
          <w:sz w:val="32"/>
          <w:szCs w:val="32"/>
        </w:rPr>
        <w:t>食品安全追溯</w:t>
      </w:r>
      <w:r>
        <w:rPr>
          <w:rFonts w:ascii="楷体" w:eastAsia="楷体" w:cs="楷体" w:hint="eastAsia"/>
          <w:kern w:val="0"/>
          <w:sz w:val="32"/>
          <w:szCs w:val="32"/>
          <w:lang w:eastAsia="zh-CN"/>
        </w:rPr>
        <w:t>。</w:t>
      </w:r>
    </w:p>
    <w:p>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lang w:val="en-US" w:eastAsia="zh-CN"/>
        </w:rPr>
        <w:t>通过调研了解到，以往重大活动餐饮服务提供者在活动中有索证索票不全，现有文件、记录管理不规范，食品类供应商信息缺失等现象，安全追溯难以实现。</w:t>
      </w:r>
      <w:r>
        <w:rPr>
          <w:rFonts w:ascii="仿宋_GB2312" w:eastAsia="仿宋_GB2312" w:hint="eastAsia"/>
          <w:kern w:val="0"/>
          <w:sz w:val="32"/>
          <w:szCs w:val="32"/>
        </w:rPr>
        <w:t>本文件要求重大活动食品安全各相关方建立食品安全追溯体系并确保有效性，重点对餐饮服务提供者索证索票、记录存档、食品类供应商为确保追溯有效而需留存的记录、文件类型提出要求；智能监控设施的发展趋势，可实现帮助监管人员实施非现场式工作，留存过程信息等，更有利于食品安全追溯的实施，是本文件引入的一个重要原因。</w:t>
      </w:r>
    </w:p>
    <w:p>
      <w:pPr>
        <w:spacing w:line="360" w:lineRule="auto"/>
        <w:ind w:firstLineChars="200" w:firstLine="640"/>
        <w:rPr>
          <w:rFonts w:ascii="楷体" w:eastAsia="楷体" w:cs="楷体" w:hint="eastAsia"/>
          <w:kern w:val="0"/>
          <w:sz w:val="32"/>
          <w:szCs w:val="32"/>
          <w:lang w:eastAsia="zh-CN"/>
        </w:rPr>
      </w:pPr>
      <w:r>
        <w:rPr>
          <w:rFonts w:ascii="楷体" w:eastAsia="楷体" w:cs="楷体" w:hint="eastAsia"/>
          <w:kern w:val="0"/>
          <w:sz w:val="32"/>
          <w:szCs w:val="32"/>
          <w:lang w:eastAsia="zh-CN"/>
        </w:rPr>
        <w:t>（六）</w:t>
      </w:r>
      <w:r>
        <w:rPr>
          <w:rFonts w:ascii="楷体" w:eastAsia="楷体" w:cs="楷体" w:hint="eastAsia"/>
          <w:kern w:val="0"/>
          <w:sz w:val="32"/>
          <w:szCs w:val="32"/>
        </w:rPr>
        <w:t>食品安全突发事件处置</w:t>
      </w:r>
      <w:r>
        <w:rPr>
          <w:rFonts w:ascii="楷体" w:eastAsia="楷体" w:cs="楷体" w:hint="eastAsia"/>
          <w:kern w:val="0"/>
          <w:sz w:val="32"/>
          <w:szCs w:val="32"/>
          <w:lang w:eastAsia="zh-CN"/>
        </w:rPr>
        <w:t>。</w:t>
      </w:r>
    </w:p>
    <w:p>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本文件引用了《长沙市食品安全事故应急预案》作为食品安全突发事件处置的主要指导工作文件，并提出重大活动食品安全相关方应就当次重大活动制定食品安全突发事件处置方案并开展应急演练的要求，体现了“预防为主”的原则。</w:t>
      </w:r>
    </w:p>
    <w:p>
      <w:pPr>
        <w:widowControl/>
        <w:spacing w:line="360" w:lineRule="auto"/>
        <w:ind w:firstLineChars="200" w:firstLine="640"/>
        <w:jc w:val="left"/>
        <w:rPr>
          <w:rFonts w:ascii="黑体" w:eastAsia="黑体" w:cs="黑体"/>
          <w:color w:val="000000"/>
          <w:kern w:val="0"/>
          <w:sz w:val="32"/>
          <w:szCs w:val="32"/>
        </w:rPr>
      </w:pPr>
      <w:r>
        <w:rPr>
          <w:rFonts w:ascii="黑体" w:eastAsia="黑体" w:cs="黑体" w:hint="eastAsia"/>
          <w:color w:val="000000"/>
          <w:kern w:val="0"/>
          <w:sz w:val="32"/>
          <w:szCs w:val="32"/>
        </w:rPr>
        <w:t>五、与相关法律法规和标准的关系</w:t>
      </w:r>
    </w:p>
    <w:p>
      <w:pPr>
        <w:pStyle w:val="18"/>
        <w:rPr>
          <w:rFonts w:ascii="仿宋_GB2312" w:eastAsia="仿宋_GB2312"/>
          <w:kern w:val="0"/>
          <w:sz w:val="32"/>
          <w:szCs w:val="32"/>
          <w:lang w:val="en-US" w:eastAsia="zh-CN"/>
        </w:rPr>
      </w:pPr>
      <w:r>
        <w:rPr>
          <w:rFonts w:ascii="仿宋_GB2312" w:eastAsia="仿宋_GB2312" w:hint="eastAsia"/>
          <w:kern w:val="0"/>
          <w:sz w:val="32"/>
          <w:szCs w:val="32"/>
          <w:lang w:val="en-US" w:eastAsia="zh-CN"/>
        </w:rPr>
        <w:t>本文件的制定严格遵守《中华人民共和国食品安全法》及实施条例，重点参考了《</w:t>
      </w:r>
      <w:r>
        <w:rPr>
          <w:rFonts w:ascii="仿宋_GB2312" w:eastAsia="仿宋_GB2312" w:hint="eastAsia"/>
          <w:kern w:val="0"/>
          <w:sz w:val="32"/>
          <w:szCs w:val="32"/>
        </w:rPr>
        <w:t>重大活动餐饮服务食品安全监督管理规范</w:t>
      </w:r>
      <w:r>
        <w:rPr>
          <w:rFonts w:ascii="仿宋_GB2312" w:eastAsia="仿宋_GB2312" w:hint="eastAsia"/>
          <w:kern w:val="0"/>
          <w:sz w:val="32"/>
          <w:szCs w:val="32"/>
          <w:lang w:val="en-US" w:eastAsia="zh-CN"/>
        </w:rPr>
        <w:t>》(国食药监食[2011]67号 )、GB 31654《食品安全国家标准 餐饮服务通用卫生规范》《餐饮服务食品安全操作规范》（国家市场监督管理总局[2018]第12号），引用了《长沙市食品安全事故应急预案》部分内容。与上述法律法规、强制性国标准、规范协调一致。</w:t>
      </w:r>
    </w:p>
    <w:p>
      <w:pPr>
        <w:widowControl/>
        <w:spacing w:line="360" w:lineRule="auto"/>
        <w:ind w:firstLineChars="200" w:firstLine="640"/>
        <w:jc w:val="left"/>
        <w:rPr>
          <w:rFonts w:ascii="黑体" w:eastAsia="黑体" w:cs="黑体"/>
          <w:color w:val="000000"/>
          <w:kern w:val="0"/>
          <w:sz w:val="30"/>
          <w:szCs w:val="30"/>
        </w:rPr>
      </w:pPr>
      <w:r>
        <w:rPr>
          <w:rFonts w:ascii="黑体" w:eastAsia="黑体" w:cs="黑体" w:hint="eastAsia"/>
          <w:color w:val="000000"/>
          <w:kern w:val="0"/>
          <w:sz w:val="32"/>
          <w:szCs w:val="32"/>
        </w:rPr>
        <w:t>六、实施推广建议</w:t>
      </w:r>
    </w:p>
    <w:p>
      <w:pPr>
        <w:spacing w:line="360" w:lineRule="auto"/>
        <w:ind w:firstLineChars="200" w:firstLine="640"/>
        <w:rPr>
          <w:rFonts w:ascii="仿宋_GB2312" w:eastAsia="仿宋_GB2312" w:hint="eastAsia"/>
          <w:kern w:val="0"/>
          <w:sz w:val="32"/>
          <w:szCs w:val="32"/>
        </w:rPr>
      </w:pPr>
      <w:r>
        <w:rPr>
          <w:rFonts w:ascii="仿宋_GB2312" w:eastAsia="仿宋_GB2312" w:hint="eastAsia"/>
          <w:kern w:val="0"/>
          <w:sz w:val="32"/>
          <w:szCs w:val="32"/>
        </w:rPr>
        <w:t>本文件适用于长沙市行政区域内开展的重大活动食品安全管理。本文件为新制定，建议本文件批准发布2个月后实施。</w:t>
      </w:r>
    </w:p>
    <w:p>
      <w:pPr>
        <w:spacing w:line="360" w:lineRule="auto"/>
        <w:ind w:firstLineChars="200" w:firstLine="640"/>
        <w:rPr>
          <w:rFonts w:ascii="仿宋_GB2312" w:eastAsia="仿宋_GB2312" w:hint="eastAsia"/>
          <w:kern w:val="0"/>
          <w:sz w:val="32"/>
          <w:szCs w:val="32"/>
        </w:rPr>
      </w:pPr>
      <w:r>
        <w:rPr>
          <w:rFonts w:ascii="仿宋_GB2312" w:eastAsia="仿宋_GB2312" w:hint="eastAsia"/>
          <w:kern w:val="0"/>
          <w:sz w:val="32"/>
          <w:szCs w:val="32"/>
        </w:rPr>
        <w:t>本文件发布后，将由长沙市市场监督管理局通过官方网站公布和线下通知的形式进行宣传推广，并负责组织各相关方，通过线上和线下培训的方式进行学习。加深各相关方对本职工作内容的了解和重大活动食品安全管理流程及关键点等要求的掌握。在开展食品安全追溯和食品安全突发事件处置时，达到文件齐全而有效，动作及时而规范的目的。</w:t>
      </w:r>
    </w:p>
    <w:p>
      <w:pPr>
        <w:spacing w:line="360" w:lineRule="auto"/>
        <w:ind w:firstLineChars="200" w:firstLine="640"/>
        <w:rPr>
          <w:rFonts w:ascii="仿宋_GB2312" w:eastAsia="仿宋_GB2312" w:hint="eastAsia"/>
          <w:kern w:val="0"/>
          <w:sz w:val="32"/>
          <w:szCs w:val="32"/>
        </w:rPr>
      </w:pPr>
    </w:p>
    <w:p>
      <w:pPr>
        <w:spacing w:line="360" w:lineRule="auto"/>
        <w:ind w:firstLineChars="200" w:firstLine="640"/>
        <w:rPr>
          <w:rFonts w:ascii="仿宋_GB2312" w:eastAsia="仿宋_GB2312" w:hint="eastAsia"/>
          <w:kern w:val="0"/>
          <w:sz w:val="32"/>
          <w:szCs w:val="32"/>
        </w:rPr>
      </w:pPr>
    </w:p>
    <w:p>
      <w:pPr>
        <w:spacing w:line="360" w:lineRule="auto"/>
        <w:ind w:firstLineChars="200" w:firstLine="640"/>
        <w:rPr>
          <w:rFonts w:ascii="仿宋_GB2312" w:eastAsia="仿宋_GB2312" w:hint="eastAsia"/>
          <w:kern w:val="0"/>
          <w:sz w:val="32"/>
          <w:szCs w:val="32"/>
        </w:rPr>
      </w:pPr>
    </w:p>
    <w:p>
      <w:pPr>
        <w:spacing w:line="360" w:lineRule="auto"/>
        <w:ind w:firstLineChars="200" w:firstLine="640"/>
        <w:jc w:val="right"/>
        <w:rPr>
          <w:rFonts w:ascii="仿宋_GB2312" w:eastAsia="仿宋_GB2312"/>
          <w:kern w:val="0"/>
          <w:sz w:val="32"/>
          <w:szCs w:val="32"/>
          <w:lang w:val="en-US" w:eastAsia="zh-CN"/>
        </w:rPr>
      </w:pPr>
    </w:p>
    <w:sectPr>
      <w:headerReference w:type="default" r:id="rId2"/>
      <w:headerReference w:type="even" r:id="rId3"/>
      <w:headerReference w:type="first" r:id="rId4"/>
      <w:pgSz w:w="11906" w:h="16838"/>
      <w:pgMar w:top="1440" w:right="1701" w:bottom="1440" w:left="170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3000509000000000000"/>
    <w:charset w:val="86"/>
    <w:family w:val="auto"/>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楷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等线">
    <w:altName w:val="微软雅黑"/>
    <w:panose1 w:val="02010600030101010101"/>
    <w:charset w:val="86"/>
    <w:family w:val="auto"/>
    <w:pitch w:val="variable"/>
    <w:sig w:usb0="00000000" w:usb1="00000000" w:usb2="00000016" w:usb3="00000000" w:csb0="0004000F"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6"/>
      <w:pBdr>
        <w:bottom w:val="none" w:sz="0" w:space="0" w:color="auto"/>
      </w:pBdr>
      <w:tabs>
        <w:tab w:val="center" w:pos="4153"/>
        <w:tab w:val="right" w:pos="8307"/>
      </w:tabs>
    </w:pPr>
    <w:r>
      <w:pict>
        <v:shape type="#_x0000_t136" id="PowerPlusWaterMarkObject1" o:spid="_x0000_s1" fillcolor="#000000" stroked="f" strokecolor="#000000" adj="10800" o:allowincell="f" style="position:absolute;&#13;&#10;margin-left:0.0pt;&#13;&#10;margin-top:0.0pt;&#13;&#10;width:139.76944pt;&#13;&#10;height:55.40084pt;&#13;&#10;rotation:-20.0;&#13;&#10;z-index:-22;&#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2" o:spid="_x0000_s2" fillcolor="#000000" stroked="f" strokecolor="#000000" adj="10800" o:allowincell="f" style="position:absolute;&#13;&#10;margin-left:0.0pt;&#13;&#10;margin-top:301.49542pt;&#13;&#10;width:139.76944pt;&#13;&#10;height:55.40084pt;&#13;&#10;rotation:-20.0;&#13;&#10;z-index:-19;&#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3" o:spid="_x0000_s3" fillcolor="#000000" stroked="f" strokecolor="#000000" adj="10800" o:allowincell="f" style="position:absolute;&#13;&#10;margin-left:0.0pt;&#13;&#10;margin-top:602.99084pt;&#13;&#10;width:139.76944pt;&#13;&#10;height:55.40084pt;&#13;&#10;rotation:-20.0;&#13;&#10;z-index:-16;&#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4" o:spid="_x0000_s4" fillcolor="#000000" stroked="f" strokecolor="#000000" adj="10800" o:allowincell="f" style="position:absolute;&#13;&#10;margin-left:394.494pt;&#13;&#10;margin-top:0.0pt;&#13;&#10;width:139.76944pt;&#13;&#10;height:55.40084pt;&#13;&#10;rotation:-20.0;&#13;&#10;z-index:-13;&#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5" o:spid="_x0000_s5" fillcolor="#000000" stroked="f" strokecolor="#000000" adj="10800" o:allowincell="f" style="position:absolute;&#13;&#10;margin-left:394.494pt;&#13;&#10;margin-top:301.49542pt;&#13;&#10;width:139.76944pt;&#13;&#10;height:55.40084pt;&#13;&#10;rotation:-20.0;&#13;&#10;z-index:-10;&#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6" o:spid="_x0000_s6" fillcolor="#000000" stroked="f" strokecolor="#000000" adj="10800" o:allowincell="f" style="position:absolute;&#13;&#10;margin-left:394.494pt;&#13;&#10;margin-top:602.99084pt;&#13;&#10;width:139.76944pt;&#13;&#10;height:55.40084pt;&#13;&#10;rotation:-20.0;&#13;&#10;z-index:-7;&#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75" id="WordPictureWatermark7" o:spid="_x0000_s7" filled="f" stroked="f" o:allowincell="f" style="position:absolute;&#13;&#10;margin-left:0.0pt;&#13;&#10;margin-top:0.0pt;&#13;&#10;width:0.0pt;&#13;&#10;height:0.0pt;&#13;&#10;z-index:-5;&#13;&#10;mso-position-horizontal:absolute;&#13;&#10;mso-position-vertical:absolute;&#13;&#10;mso-wrap-distance-left:6.749897pt;&#13;&#10;mso-wrap-distance-right:6.749897pt;">
          <v:stroke color="#000000"/>
          <v:imagedata/>
          <o:lock aspectratio="t"/>
        </v:shape>
      </w:pic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6"/>
      <w:pBdr>
        <w:bottom w:val="none" w:sz="0" w:space="0" w:color="auto"/>
      </w:pBdr>
      <w:tabs>
        <w:tab w:val="center" w:pos="4153"/>
        <w:tab w:val="right" w:pos="8307"/>
      </w:tabs>
    </w:pPr>
    <w:r>
      <w:pict>
        <v:shape type="#_x0000_t136" id="PowerPlusWaterMarkObject8" o:spid="_x0000_s8" fillcolor="#000000" stroked="f" strokecolor="#000000" adj="10800" o:allowincell="f" style="position:absolute;&#13;&#10;margin-left:0.0pt;&#13;&#10;margin-top:0.0pt;&#13;&#10;width:139.76944pt;&#13;&#10;height:55.40084pt;&#13;&#10;rotation:-20.0;&#13;&#10;z-index:-23;&#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9" o:spid="_x0000_s9" fillcolor="#000000" stroked="f" strokecolor="#000000" adj="10800" o:allowincell="f" style="position:absolute;&#13;&#10;margin-left:0.0pt;&#13;&#10;margin-top:301.49542pt;&#13;&#10;width:139.76944pt;&#13;&#10;height:55.40084pt;&#13;&#10;rotation:-20.0;&#13;&#10;z-index:-20;&#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10" o:spid="_x0000_s10" fillcolor="#000000" stroked="f" strokecolor="#000000" adj="10800" o:allowincell="f" style="position:absolute;&#13;&#10;margin-left:0.0pt;&#13;&#10;margin-top:602.99084pt;&#13;&#10;width:139.76944pt;&#13;&#10;height:55.40084pt;&#13;&#10;rotation:-20.0;&#13;&#10;z-index:-17;&#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11" o:spid="_x0000_s11" fillcolor="#000000" stroked="f" strokecolor="#000000" adj="10800" o:allowincell="f" style="position:absolute;&#13;&#10;margin-left:394.494pt;&#13;&#10;margin-top:0.0pt;&#13;&#10;width:139.76944pt;&#13;&#10;height:55.40084pt;&#13;&#10;rotation:-20.0;&#13;&#10;z-index:-14;&#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12" o:spid="_x0000_s12" fillcolor="#000000" stroked="f" strokecolor="#000000" adj="10800" o:allowincell="f" style="position:absolute;&#13;&#10;margin-left:394.494pt;&#13;&#10;margin-top:301.49542pt;&#13;&#10;width:139.76944pt;&#13;&#10;height:55.40084pt;&#13;&#10;rotation:-20.0;&#13;&#10;z-index:-11;&#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13" o:spid="_x0000_s13" fillcolor="#000000" stroked="f" strokecolor="#000000" adj="10800" o:allowincell="f" style="position:absolute;&#13;&#10;margin-left:394.494pt;&#13;&#10;margin-top:602.99084pt;&#13;&#10;width:139.76944pt;&#13;&#10;height:55.40084pt;&#13;&#10;rotation:-20.0;&#13;&#10;z-index:-8;&#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6"/>
      <w:pBdr>
        <w:bottom w:val="none" w:sz="0" w:space="0" w:color="auto"/>
      </w:pBdr>
      <w:tabs>
        <w:tab w:val="center" w:pos="4153"/>
        <w:tab w:val="right" w:pos="8307"/>
      </w:tabs>
    </w:pPr>
    <w:r>
      <w:pict>
        <v:shape type="#_x0000_t136" id="PowerPlusWaterMarkObject14" o:spid="_x0000_s14" fillcolor="#000000" stroked="f" strokecolor="#000000" adj="10800" o:allowincell="f" style="position:absolute;&#13;&#10;margin-left:0.0pt;&#13;&#10;margin-top:0.0pt;&#13;&#10;width:139.76944pt;&#13;&#10;height:55.40084pt;&#13;&#10;rotation:-20.0;&#13;&#10;z-index:-21;&#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15" o:spid="_x0000_s15" fillcolor="#000000" stroked="f" strokecolor="#000000" adj="10800" o:allowincell="f" style="position:absolute;&#13;&#10;margin-left:0.0pt;&#13;&#10;margin-top:301.49542pt;&#13;&#10;width:139.76944pt;&#13;&#10;height:55.40084pt;&#13;&#10;rotation:-20.0;&#13;&#10;z-index:-18;&#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16" o:spid="_x0000_s16" fillcolor="#000000" stroked="f" strokecolor="#000000" adj="10800" o:allowincell="f" style="position:absolute;&#13;&#10;margin-left:0.0pt;&#13;&#10;margin-top:602.99084pt;&#13;&#10;width:139.76944pt;&#13;&#10;height:55.40084pt;&#13;&#10;rotation:-20.0;&#13;&#10;z-index:-15;&#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17" o:spid="_x0000_s17" fillcolor="#000000" stroked="f" strokecolor="#000000" adj="10800" o:allowincell="f" style="position:absolute;&#13;&#10;margin-left:394.494pt;&#13;&#10;margin-top:0.0pt;&#13;&#10;width:139.76944pt;&#13;&#10;height:55.40084pt;&#13;&#10;rotation:-20.0;&#13;&#10;z-index:-12;&#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18" o:spid="_x0000_s18" fillcolor="#000000" stroked="f" strokecolor="#000000" adj="10800" o:allowincell="f" style="position:absolute;&#13;&#10;margin-left:394.494pt;&#13;&#10;margin-top:301.49542pt;&#13;&#10;width:139.76944pt;&#13;&#10;height:55.40084pt;&#13;&#10;rotation:-20.0;&#13;&#10;z-index:-9;&#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r>
      <w:pict>
        <v:shape type="#_x0000_t136" id="PowerPlusWaterMarkObject19" o:spid="_x0000_s19" fillcolor="#000000" stroked="f" strokecolor="#000000" adj="10800" o:allowincell="f" style="position:absolute;&#13;&#10;margin-left:394.494pt;&#13;&#10;margin-top:602.99084pt;&#13;&#10;width:139.76944pt;&#13;&#10;height:55.40084pt;&#13;&#10;rotation:-20.0;&#13;&#10;z-index:-6;&#13;&#10;mso-position-horizontal:absolute;&#13;&#10;mso-position-vertical:absolute;&#13;&#10;mso-wrap-distance-left:6.749897pt;&#13;&#10;mso-wrap-distance-right:6.749897pt;">
          <v:fill opacity="6553f"/>
          <v:stroke color="#000000"/>
          <v:textpath style="font-family:&quot;微软雅黑&quot;;&#13;&#10;font-size:14pt;" trim="t" fitpath="t" string="3486&#10;&#10;2023-03-09-10:20:10"/>
        </v:shape>
      </w:pic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5"/>
  </w:compat>
  <w:docVars>
    <w:docVar w:name="commondata" w:val="eyJoZGlkIjoiZTdmOGViYjI0MmZlNmY1YjMxODA0YTkzNzU4YzY4Y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TML Preformatted"/>
    <w:basedOn w:val="0"/>
    <w:pPr>
      <w:widowControl/>
      <w:spacing w:beforeLines="50" w:before="50" w:afterLines="50" w:after="50" w:line="360" w:lineRule="auto"/>
      <w:jc w:val="left"/>
    </w:pPr>
    <w:rPr>
      <w:rFonts w:ascii="宋体" w:eastAsia="宋体" w:cs="宋体"/>
      <w:sz w:val="24"/>
      <w:szCs w:val="24"/>
    </w:rPr>
  </w:style>
  <w:style w:type="paragraph" w:customStyle="1" w:styleId="16">
    <w:name w:val="列出段落1"/>
    <w:basedOn w:val="0"/>
    <w:pPr>
      <w:ind w:firstLineChars="200" w:firstLine="200"/>
    </w:pPr>
    <w:rPr>
      <w:rFonts w:ascii="Calibri" w:eastAsia="宋体" w:cs="Times New Roman" w:hAnsi="Calibri"/>
      <w:szCs w:val="21"/>
    </w:rPr>
  </w:style>
  <w:style w:type="paragraph" w:customStyle="1" w:styleId="17">
    <w:name w:val="Table Paragraph"/>
    <w:basedOn w:val="0"/>
    <w:pPr>
      <w:autoSpaceDE w:val="0"/>
      <w:autoSpaceDN w:val="0"/>
      <w:jc w:val="left"/>
    </w:pPr>
    <w:rPr>
      <w:rFonts w:ascii="宋体" w:eastAsia="宋体" w:cs="宋体"/>
      <w:kern w:val="0"/>
      <w:sz w:val="22"/>
    </w:rPr>
  </w:style>
  <w:style w:type="paragraph" w:customStyle="1" w:styleId="18">
    <w:name w:val="标准文件_段"/>
    <w:pPr>
      <w:autoSpaceDE w:val="0"/>
      <w:autoSpaceDN w:val="0"/>
      <w:ind w:firstLineChars="200" w:firstLine="200"/>
      <w:jc w:val="both"/>
    </w:pPr>
    <w:rPr>
      <w:rFonts w:ascii="宋体" w:eastAsia="宋体" w:cs="Times New Roman"/>
      <w:sz w:val="21"/>
      <w:szCs w:val="20"/>
      <w:lang w:val="en-US" w:eastAsia="zh-CN" w:bidi="ar-SA"/>
    </w:rPr>
  </w:style>
  <w:style w:type="paragraph" w:styleId="36">
    <w:name w:val="header"/>
    <w:basedOn w:val="0"/>
    <w:pPr>
      <w:pBdr>
        <w:bottom w:val="single" w:sz="6" w:space="1" w:color="auto"/>
      </w:pBdr>
      <w:tabs>
        <w:tab w:val="center" w:pos="4153"/>
        <w:tab w:val="right" w:pos="8307"/>
      </w:tabs>
      <w:snapToGrid w:val="0"/>
      <w:jc w:val="center"/>
    </w:pPr>
    <w:rPr>
      <w:sz w:val="18"/>
    </w:rPr>
  </w:style>
  <w:style w:type="paragraph" w:styleId="37">
    <w:name w:val="footer"/>
    <w:basedOn w:val="0"/>
    <w:pPr>
      <w:tabs>
        <w:tab w:val="center" w:pos="4153"/>
        <w:tab w:val="right" w:pos="8307"/>
      </w:tabs>
      <w:snapToGrid w:val="0"/>
      <w:jc w:val="left"/>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42</TotalTime>
  <Application>Yozo_Office27021597764231179</Application>
  <Pages>1</Pages>
  <Words>2966</Words>
  <Characters>3031</Characters>
  <Lines>0</Lines>
  <Paragraphs>0</Paragraphs>
  <CharactersWithSpaces>3036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26874859@qq.com</dc:creator>
  <cp:lastModifiedBy>Administrator</cp:lastModifiedBy>
  <cp:revision>15</cp:revision>
  <dcterms:created xsi:type="dcterms:W3CDTF">2022-11-17T11:18:00Z</dcterms:created>
  <dcterms:modified xsi:type="dcterms:W3CDTF">2023-03-09T02:23:57Z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2052-11.8.2.9022</vt:lpwstr>
  </property>
  <property fmtid="{D5CDD505-2E9C-101B-9397-08002B2CF9AE}" pid="3" name="ICV">
    <vt:lpwstr>C2EBE513813C4890A76BC4949B437D7E</vt:lpwstr>
  </property>
</Properties>
</file>