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line="360" w:lineRule="auto"/>
        <w:ind w:firstLine="0" w:firstLineChars="0"/>
        <w:rPr>
          <w:rFonts w:hint="default" w:ascii="仿宋_GB2312" w:hAnsi="仿宋_GB2312" w:eastAsia="仿宋_GB2312" w:cs="仿宋_GB2312"/>
          <w:b w:val="0"/>
          <w:bCs w:val="0"/>
          <w:kern w:val="2"/>
          <w:sz w:val="32"/>
          <w:szCs w:val="32"/>
          <w:lang w:val="en"/>
        </w:rPr>
      </w:pPr>
      <w:r>
        <w:rPr>
          <w:rFonts w:hint="eastAsia" w:ascii="仿宋_GB2312" w:hAnsi="仿宋_GB2312" w:eastAsia="仿宋_GB2312" w:cs="仿宋_GB2312"/>
          <w:b w:val="0"/>
          <w:bCs w:val="0"/>
          <w:kern w:val="2"/>
          <w:sz w:val="32"/>
          <w:szCs w:val="32"/>
        </w:rPr>
        <w:t>附件</w:t>
      </w:r>
      <w:r>
        <w:rPr>
          <w:rFonts w:hint="default" w:ascii="仿宋_GB2312" w:hAnsi="仿宋_GB2312" w:eastAsia="仿宋_GB2312" w:cs="仿宋_GB2312"/>
          <w:b w:val="0"/>
          <w:bCs w:val="0"/>
          <w:kern w:val="2"/>
          <w:sz w:val="32"/>
          <w:szCs w:val="32"/>
          <w:lang w:val="en"/>
        </w:rPr>
        <w:t>2</w:t>
      </w:r>
    </w:p>
    <w:p>
      <w:pPr>
        <w:snapToGrid w:val="0"/>
        <w:jc w:val="center"/>
        <w:rPr>
          <w:rFonts w:cs="方正小标宋_GBK" w:asciiTheme="minorEastAsia" w:hAnsiTheme="minorEastAsia"/>
          <w:b/>
          <w:bCs/>
          <w:kern w:val="0"/>
          <w:sz w:val="44"/>
          <w:szCs w:val="44"/>
        </w:rPr>
      </w:pPr>
      <w:bookmarkStart w:id="0" w:name="_GoBack"/>
      <w:r>
        <w:rPr>
          <w:rFonts w:hint="eastAsia" w:cs="方正小标宋简体" w:asciiTheme="minorEastAsia" w:hAnsiTheme="minorEastAsia"/>
          <w:b/>
          <w:bCs/>
          <w:sz w:val="44"/>
          <w:szCs w:val="44"/>
        </w:rPr>
        <w:t>《</w:t>
      </w:r>
      <w:bookmarkEnd w:id="0"/>
      <w:r>
        <w:rPr>
          <w:rFonts w:hint="eastAsia" w:cs="方正小标宋_GBK" w:asciiTheme="minorEastAsia" w:hAnsiTheme="minorEastAsia"/>
          <w:b/>
          <w:bCs/>
          <w:kern w:val="0"/>
          <w:sz w:val="44"/>
          <w:szCs w:val="44"/>
        </w:rPr>
        <w:t>深圳市绿色建筑标识管理办法</w:t>
      </w:r>
    </w:p>
    <w:p>
      <w:pPr>
        <w:snapToGrid w:val="0"/>
        <w:jc w:val="center"/>
        <w:rPr>
          <w:rFonts w:cs="方正小标宋简体" w:asciiTheme="minorEastAsia" w:hAnsiTheme="minorEastAsia"/>
          <w:sz w:val="44"/>
          <w:szCs w:val="44"/>
        </w:rPr>
      </w:pPr>
      <w:r>
        <w:rPr>
          <w:rFonts w:hint="eastAsia" w:cs="方正小标宋_GBK" w:asciiTheme="minorEastAsia" w:hAnsiTheme="minorEastAsia"/>
          <w:b/>
          <w:bCs/>
          <w:kern w:val="0"/>
          <w:sz w:val="44"/>
          <w:szCs w:val="44"/>
        </w:rPr>
        <w:t>（征求意见稿）》编制说明</w:t>
      </w:r>
    </w:p>
    <w:p>
      <w:pPr>
        <w:snapToGrid w:val="0"/>
        <w:spacing w:line="560" w:lineRule="exact"/>
        <w:jc w:val="center"/>
        <w:rPr>
          <w:rFonts w:ascii="Calibri" w:hAnsi="Calibri" w:eastAsia="仿宋_GB2312" w:cs="Times New Roman"/>
          <w:sz w:val="40"/>
          <w:szCs w:val="20"/>
        </w:rPr>
      </w:pPr>
    </w:p>
    <w:p>
      <w:pPr>
        <w:snapToGrid w:val="0"/>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为贯彻落实《住房和城乡建设部关于印发绿色建筑标识管理办法的通知》</w:t>
      </w:r>
      <w:r>
        <w:rPr>
          <w:rFonts w:hint="eastAsia" w:ascii="仿宋_GB2312" w:hAnsi="仿宋_GB2312" w:eastAsia="仿宋_GB2312" w:cs="仿宋_GB2312"/>
          <w:sz w:val="32"/>
          <w:szCs w:val="32"/>
        </w:rPr>
        <w:t>（建标规〔</w:t>
      </w:r>
      <w:r>
        <w:rPr>
          <w:rFonts w:ascii="Times New Roman" w:hAnsi="Times New Roman" w:eastAsia="仿宋_GB2312" w:cs="Times New Roman"/>
          <w:sz w:val="32"/>
          <w:szCs w:val="32"/>
        </w:rPr>
        <w:t>2021</w:t>
      </w: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1</w:t>
      </w:r>
      <w:r>
        <w:rPr>
          <w:rFonts w:hint="eastAsia" w:ascii="仿宋_GB2312" w:hAnsi="仿宋_GB2312" w:eastAsia="仿宋_GB2312" w:cs="仿宋_GB2312"/>
          <w:sz w:val="32"/>
          <w:szCs w:val="32"/>
        </w:rPr>
        <w:t>号）、《广东省住房和城乡建设厅关于我省绿色建筑标识申报等相关工作的通知》、</w:t>
      </w:r>
      <w:r>
        <w:rPr>
          <w:rFonts w:hint="eastAsia" w:ascii="Times New Roman" w:hAnsi="Times New Roman" w:eastAsia="仿宋_GB2312" w:cs="Times New Roman"/>
          <w:sz w:val="32"/>
          <w:szCs w:val="32"/>
        </w:rPr>
        <w:t>《深圳经济特区绿色建筑条例》</w:t>
      </w:r>
      <w:r>
        <w:rPr>
          <w:rFonts w:hint="eastAsia" w:ascii="仿宋_GB2312" w:hAnsi="仿宋_GB2312" w:eastAsia="仿宋_GB2312" w:cs="仿宋_GB2312"/>
          <w:sz w:val="32"/>
          <w:szCs w:val="32"/>
        </w:rPr>
        <w:t>的相关要求</w:t>
      </w:r>
      <w:r>
        <w:rPr>
          <w:rFonts w:hint="eastAsia" w:ascii="仿宋_GB2312" w:hAnsi="仿宋_GB2312" w:eastAsia="仿宋_GB2312" w:cs="仿宋_GB2312"/>
          <w:color w:val="000000"/>
          <w:kern w:val="0"/>
          <w:sz w:val="32"/>
          <w:szCs w:val="32"/>
        </w:rPr>
        <w:t>，规范深圳市绿色建筑标识管理工作，推动深圳市绿色建筑高质量发展，市住房建设局经充分调研、专家论证，在总结分析全市绿色建筑发展现状和面临形势的基础上，起草了《深圳市绿色建筑标识管理办法（征求意见稿）》（以下简称《管理办法》）。</w:t>
      </w:r>
    </w:p>
    <w:p>
      <w:pPr>
        <w:snapToGrid w:val="0"/>
        <w:spacing w:line="560" w:lineRule="exact"/>
        <w:ind w:firstLine="640" w:firstLineChars="200"/>
        <w:outlineLvl w:val="0"/>
        <w:rPr>
          <w:rFonts w:ascii="黑体" w:hAnsi="黑体" w:eastAsia="黑体" w:cs="Times New Roman"/>
          <w:sz w:val="32"/>
          <w:szCs w:val="32"/>
        </w:rPr>
      </w:pPr>
      <w:r>
        <w:rPr>
          <w:rFonts w:hint="eastAsia" w:ascii="黑体" w:hAnsi="黑体" w:eastAsia="黑体" w:cs="Times New Roman"/>
          <w:sz w:val="32"/>
          <w:szCs w:val="32"/>
        </w:rPr>
        <w:t>一、文件出台背景和必要性</w:t>
      </w:r>
    </w:p>
    <w:p>
      <w:pPr>
        <w:snapToGrid w:val="0"/>
        <w:spacing w:line="560" w:lineRule="exact"/>
        <w:ind w:firstLine="642"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一是深圳市绿色建筑发展持续维持领先水平的迫切需要</w:t>
      </w:r>
      <w:r>
        <w:rPr>
          <w:rFonts w:hint="eastAsia" w:ascii="仿宋_GB2312" w:hAnsi="仿宋_GB2312" w:eastAsia="仿宋_GB2312" w:cs="仿宋_GB2312"/>
          <w:color w:val="000000"/>
          <w:kern w:val="0"/>
          <w:sz w:val="32"/>
          <w:szCs w:val="32"/>
        </w:rPr>
        <w:t>。深圳市是国家改革开放特区和先行示范区，在“双区”建设的驱动下，绿色建筑和建筑节能减排工作走在全国前列。截至2021年底，全市累计有1521个项目获得绿色建筑评价标识，总建筑面积超过1.4亿平方米，共有13个获全国绿色建筑创新奖项目，占全国获奖项目的7.6%，其中一等奖6个，占全国总数的18%。2021年12月22日，搜狐城市、中国城市科学研究会和北京清华同衡规划设计研究院联合发布了《2021中国城市绿色建筑发展竞争力指数报告》。该报告系国内首份从城市维度评价各地绿色建筑发展竞争力水平的研究成果，深圳拔得头筹，当选2021中国绿色建筑发展竞争力最强城市。2022年12月29日，第二届《2022中国城市绿色建筑发展竞争力指数报告》发布，深圳位居第二，连续两年名列前茅。目前，深圳已成为国内绿色建筑建设规模、建设密度最大和获绿色建筑评价标识项目、全国绿色建筑创新奖数量最多的城市之一，被国家住房和城乡建设部誉为“绿色先锋”城市。</w:t>
      </w:r>
    </w:p>
    <w:p>
      <w:pPr>
        <w:snapToGrid w:val="0"/>
        <w:spacing w:line="560" w:lineRule="exact"/>
        <w:ind w:firstLine="642" w:firstLineChars="200"/>
        <w:outlineLvl w:val="0"/>
        <w:rPr>
          <w:rFonts w:ascii="Times New Roman" w:hAnsi="Times New Roman" w:eastAsia="仿宋_GB2312" w:cs="Times New Roman"/>
          <w:sz w:val="32"/>
          <w:szCs w:val="32"/>
        </w:rPr>
      </w:pPr>
      <w:r>
        <w:rPr>
          <w:rFonts w:hint="eastAsia" w:ascii="楷体_GB2312" w:hAnsi="Times New Roman" w:eastAsia="楷体_GB2312" w:cs="Times New Roman"/>
          <w:b/>
          <w:sz w:val="32"/>
          <w:szCs w:val="32"/>
        </w:rPr>
        <w:t>二是贯彻落实国家和广东省绿色建筑发展政策的工作要求。</w:t>
      </w: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月，住房和城乡建设部印发了《绿色建筑标识管理办法》（建标规〔</w:t>
      </w: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号），明确了绿色建筑标识由住房和城乡建设部统一式样，并对绿色建筑标识的申报和审查程序、标识管理等做了相应规定。2021年9月，</w:t>
      </w:r>
      <w:r>
        <w:rPr>
          <w:rFonts w:hint="eastAsia" w:ascii="仿宋_GB2312" w:hAnsi="仿宋_GB2312" w:eastAsia="仿宋_GB2312" w:cs="仿宋_GB2312"/>
          <w:sz w:val="32"/>
          <w:szCs w:val="32"/>
        </w:rPr>
        <w:t>广东省住房和城乡建设厅印发了《关于我省绿色建筑标识申报等相关工作的通知</w:t>
      </w:r>
      <w:r>
        <w:rPr>
          <w:rFonts w:hint="eastAsia" w:ascii="Times New Roman" w:hAnsi="Times New Roman" w:eastAsia="仿宋_GB2312" w:cs="Times New Roman"/>
          <w:sz w:val="32"/>
          <w:szCs w:val="32"/>
        </w:rPr>
        <w:t>》，要求新建民用建筑项目实行申报、评审、公示、公布全流程线上操作，工业建筑和既有建筑改造项目采用线上申报、线下评审、线上公示公布相结合的方式。</w:t>
      </w:r>
    </w:p>
    <w:p>
      <w:pPr>
        <w:snapToGrid w:val="0"/>
        <w:spacing w:line="560" w:lineRule="exact"/>
        <w:ind w:firstLine="642" w:firstLineChars="200"/>
        <w:outlineLvl w:val="0"/>
        <w:rPr>
          <w:rFonts w:ascii="Times New Roman" w:hAnsi="Times New Roman" w:eastAsia="仿宋_GB2312" w:cs="Times New Roman"/>
          <w:sz w:val="32"/>
          <w:szCs w:val="32"/>
        </w:rPr>
      </w:pPr>
      <w:r>
        <w:rPr>
          <w:rFonts w:hint="eastAsia" w:ascii="楷体_GB2312" w:hAnsi="Times New Roman" w:eastAsia="楷体_GB2312" w:cs="Times New Roman"/>
          <w:b/>
          <w:sz w:val="32"/>
          <w:szCs w:val="32"/>
        </w:rPr>
        <w:t>三是贯彻落实《深圳经济特区绿色建筑条例》的必然要求。</w:t>
      </w:r>
      <w:r>
        <w:rPr>
          <w:rFonts w:ascii="Times New Roman" w:hAnsi="Times New Roman" w:eastAsia="仿宋_GB2312" w:cs="Times New Roman"/>
          <w:sz w:val="32"/>
          <w:szCs w:val="32"/>
        </w:rPr>
        <w:t>2022</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28</w:t>
      </w:r>
      <w:r>
        <w:rPr>
          <w:rFonts w:hint="eastAsia" w:ascii="Times New Roman" w:hAnsi="Times New Roman" w:eastAsia="仿宋_GB2312" w:cs="Times New Roman"/>
          <w:sz w:val="32"/>
          <w:szCs w:val="32"/>
        </w:rPr>
        <w:t>日，深圳市第七届人民代表大会常务委员会审议通过了《深圳经济特区绿色建筑条例》，于</w:t>
      </w:r>
      <w:r>
        <w:rPr>
          <w:rFonts w:ascii="Times New Roman" w:hAnsi="Times New Roman" w:eastAsia="仿宋_GB2312" w:cs="Times New Roman"/>
          <w:sz w:val="32"/>
          <w:szCs w:val="32"/>
        </w:rPr>
        <w:t>2022</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07</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日正式施行。《条例》第六条规定：深圳市新建建筑的建设和运行应当符合不低于绿色建筑标准一星级的要求；大型公共建筑和国家机关办公建筑的建设和运行应当符合不低于绿色建筑标准二星级的要求。《条例》第三十六条规定：实行绿色建筑标识评价制度，按照国家、广东省和深圳市有关规定进行评价。市住房建设主管部门根据绿色建筑发展需求，确定应当取得绿色建筑标识的范围和要求。</w:t>
      </w:r>
    </w:p>
    <w:p>
      <w:pPr>
        <w:snapToGrid w:val="0"/>
        <w:spacing w:line="560" w:lineRule="exact"/>
        <w:ind w:firstLine="640" w:firstLineChars="200"/>
        <w:outlineLvl w:val="0"/>
        <w:rPr>
          <w:rFonts w:ascii="黑体" w:hAnsi="黑体" w:eastAsia="黑体" w:cs="Times New Roman"/>
          <w:sz w:val="32"/>
          <w:szCs w:val="32"/>
        </w:rPr>
      </w:pPr>
      <w:r>
        <w:rPr>
          <w:rFonts w:hint="eastAsia" w:ascii="黑体" w:hAnsi="黑体" w:eastAsia="黑体" w:cs="Times New Roman"/>
          <w:sz w:val="32"/>
          <w:szCs w:val="32"/>
        </w:rPr>
        <w:t>二、主要内容</w:t>
      </w:r>
    </w:p>
    <w:p>
      <w:pPr>
        <w:snapToGrid w:val="0"/>
        <w:spacing w:line="560" w:lineRule="exact"/>
        <w:ind w:firstLine="640" w:firstLineChars="200"/>
        <w:outlineLvl w:val="0"/>
        <w:rPr>
          <w:rFonts w:ascii="楷体_GB2312" w:hAnsi="Times New Roman" w:eastAsia="楷体_GB2312" w:cs="Times New Roman"/>
          <w:bCs/>
          <w:sz w:val="32"/>
          <w:szCs w:val="32"/>
        </w:rPr>
      </w:pPr>
      <w:r>
        <w:rPr>
          <w:rFonts w:hint="eastAsia" w:ascii="仿宋_GB2312" w:hAnsi="仿宋_GB2312" w:eastAsia="仿宋_GB2312" w:cs="仿宋_GB2312"/>
          <w:color w:val="000000"/>
          <w:kern w:val="0"/>
          <w:sz w:val="32"/>
          <w:szCs w:val="32"/>
        </w:rPr>
        <w:t>《管理办法》依据国家、省市的相关要求，从绿色建筑标准的选用、申报范围、申报流程、标识管理等方面全面部署相关工作：</w:t>
      </w:r>
    </w:p>
    <w:p>
      <w:pPr>
        <w:snapToGrid w:val="0"/>
        <w:spacing w:line="560" w:lineRule="exact"/>
        <w:ind w:firstLine="642" w:firstLineChars="200"/>
        <w:outlineLvl w:val="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（一）明确绿色建筑标识依据的标准</w:t>
      </w:r>
    </w:p>
    <w:p>
      <w:pPr>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根据住房和城乡建设部《绿色建筑标识管理办法》的相关要求，将绿色建筑的标识等级划分为基本级、一星级、二星级、三星级。其中，按照《深圳经济特区绿色建筑条例》的规定，深圳市行政区域内不予受理基本级标识申报工作。</w:t>
      </w:r>
    </w:p>
    <w:p>
      <w:pPr>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《管理办法》将绿色建筑标识的评价依据确定为</w:t>
      </w:r>
      <w:r>
        <w:rPr>
          <w:rFonts w:hint="eastAsia" w:ascii="仿宋_GB2312" w:hAnsi="仿宋_GB2312" w:eastAsia="仿宋_GB2312" w:cs="仿宋_GB2312"/>
          <w:sz w:val="32"/>
          <w:szCs w:val="32"/>
        </w:rPr>
        <w:t>《绿色建筑评价标准》（</w:t>
      </w:r>
      <w:r>
        <w:rPr>
          <w:rFonts w:ascii="仿宋_GB2312" w:hAnsi="仿宋_GB2312" w:eastAsia="仿宋_GB2312" w:cs="仿宋_GB2312"/>
          <w:sz w:val="32"/>
          <w:szCs w:val="32"/>
        </w:rPr>
        <w:t xml:space="preserve">GB/T </w:t>
      </w:r>
      <w:r>
        <w:rPr>
          <w:rFonts w:ascii="Times New Roman" w:hAnsi="Times New Roman" w:eastAsia="仿宋_GB2312" w:cs="Times New Roman"/>
          <w:sz w:val="32"/>
          <w:szCs w:val="32"/>
        </w:rPr>
        <w:t>50378</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、《绿色工业建筑评价标准》（</w:t>
      </w:r>
      <w:r>
        <w:rPr>
          <w:rFonts w:ascii="仿宋_GB2312" w:hAnsi="仿宋_GB2312" w:eastAsia="仿宋_GB2312" w:cs="仿宋_GB2312"/>
          <w:sz w:val="32"/>
          <w:szCs w:val="32"/>
        </w:rPr>
        <w:t xml:space="preserve">GB/T </w:t>
      </w:r>
      <w:r>
        <w:rPr>
          <w:rFonts w:ascii="Times New Roman" w:hAnsi="Times New Roman" w:eastAsia="仿宋_GB2312" w:cs="Times New Roman"/>
          <w:sz w:val="32"/>
          <w:szCs w:val="32"/>
        </w:rPr>
        <w:t>50878</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 xml:space="preserve">《既有建筑绿色改造评价标准》（GB/T </w:t>
      </w:r>
      <w:r>
        <w:rPr>
          <w:rFonts w:ascii="Times New Roman" w:hAnsi="Times New Roman" w:eastAsia="仿宋_GB2312" w:cs="Times New Roman"/>
          <w:sz w:val="32"/>
          <w:szCs w:val="32"/>
        </w:rPr>
        <w:t>51141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。既往深圳市执行深圳地方绿色建筑评价标准的项目按照</w:t>
      </w:r>
      <w:r>
        <w:rPr>
          <w:rFonts w:ascii="Times New Roman" w:hAnsi="Times New Roman" w:eastAsia="仿宋_GB2312" w:cs="Times New Roman"/>
          <w:sz w:val="32"/>
          <w:szCs w:val="32"/>
        </w:rPr>
        <w:t>2021</w:t>
      </w:r>
      <w:r>
        <w:rPr>
          <w:rFonts w:hint="eastAsia" w:ascii="仿宋_GB2312" w:hAnsi="仿宋_GB2312" w:eastAsia="仿宋_GB2312" w:cs="仿宋_GB2312"/>
          <w:sz w:val="32"/>
          <w:szCs w:val="32"/>
        </w:rPr>
        <w:t>年</w:t>
      </w:r>
      <w:r>
        <w:rPr>
          <w:rFonts w:ascii="Times New Roman" w:hAnsi="Times New Roman" w:eastAsia="仿宋_GB2312" w:cs="Times New Roman"/>
          <w:sz w:val="32"/>
          <w:szCs w:val="32"/>
        </w:rPr>
        <w:t>6</w:t>
      </w:r>
      <w:r>
        <w:rPr>
          <w:rFonts w:hint="eastAsia" w:ascii="仿宋_GB2312" w:hAnsi="仿宋_GB2312" w:eastAsia="仿宋_GB2312" w:cs="仿宋_GB2312"/>
          <w:sz w:val="32"/>
          <w:szCs w:val="32"/>
        </w:rPr>
        <w:t>月</w:t>
      </w:r>
      <w:r>
        <w:rPr>
          <w:rFonts w:ascii="Times New Roman" w:hAnsi="Times New Roman" w:eastAsia="仿宋_GB2312" w:cs="Times New Roman"/>
          <w:sz w:val="32"/>
          <w:szCs w:val="32"/>
        </w:rPr>
        <w:t>25</w:t>
      </w:r>
      <w:r>
        <w:rPr>
          <w:rFonts w:hint="eastAsia" w:ascii="仿宋_GB2312" w:hAnsi="仿宋_GB2312" w:eastAsia="仿宋_GB2312" w:cs="仿宋_GB2312"/>
          <w:sz w:val="32"/>
          <w:szCs w:val="32"/>
        </w:rPr>
        <w:t>日发布的《深圳市住房和建设局关于进一步明确绿色建筑标准及标识管理的通知》执行。</w:t>
      </w:r>
    </w:p>
    <w:p>
      <w:pPr>
        <w:snapToGrid w:val="0"/>
        <w:spacing w:line="560" w:lineRule="exact"/>
        <w:ind w:firstLine="642" w:firstLineChars="200"/>
        <w:outlineLvl w:val="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（二）明确绿色建筑标识评价的受理机构</w:t>
      </w:r>
    </w:p>
    <w:p>
      <w:pPr>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本《管理办法》</w:t>
      </w:r>
      <w:r>
        <w:rPr>
          <w:rFonts w:hint="eastAsia" w:ascii="Times New Roman" w:hAnsi="Times New Roman" w:eastAsia="仿宋_GB2312" w:cs="Times New Roman"/>
          <w:sz w:val="32"/>
          <w:szCs w:val="32"/>
          <w:lang w:val="en-US" w:eastAsia="zh-CN"/>
        </w:rPr>
        <w:t>明确</w:t>
      </w:r>
      <w:r>
        <w:rPr>
          <w:rFonts w:hint="eastAsia" w:ascii="仿宋_GB2312" w:hAnsi="仿宋_GB2312" w:eastAsia="仿宋_GB2312" w:cs="仿宋_GB2312"/>
          <w:sz w:val="32"/>
          <w:szCs w:val="32"/>
          <w:lang w:val="en-US" w:eastAsia="zh-CN"/>
        </w:rPr>
        <w:t>市住房建设主管部门负责全市绿色建筑标识管理工作，负责建立深圳市绿色建筑标识管理信息系统，认定一星级绿色建筑并授予标识，向上级主管部门推荐二星级、三星级绿色建筑</w:t>
      </w:r>
      <w:r>
        <w:rPr>
          <w:rFonts w:hint="eastAsia" w:ascii="Times New Roman" w:hAnsi="Times New Roman" w:eastAsia="仿宋_GB2312" w:cs="Times New Roman"/>
          <w:sz w:val="32"/>
          <w:szCs w:val="32"/>
        </w:rPr>
        <w:t>，</w:t>
      </w:r>
      <w:r>
        <w:rPr>
          <w:rFonts w:hint="eastAsia" w:ascii="仿宋_GB2312" w:hAnsi="仿宋_GB2312" w:eastAsia="仿宋_GB2312" w:cs="仿宋_GB2312"/>
          <w:sz w:val="32"/>
          <w:szCs w:val="32"/>
        </w:rPr>
        <w:t>可通过委托第三方评价机构提供技术服务的方式开展</w:t>
      </w:r>
      <w:r>
        <w:rPr>
          <w:rFonts w:hint="eastAsia" w:ascii="Times New Roman" w:hAnsi="Times New Roman" w:eastAsia="仿宋_GB2312" w:cs="Times New Roman"/>
          <w:sz w:val="32"/>
          <w:szCs w:val="32"/>
        </w:rPr>
        <w:t>。绿色建筑标识申报的项目必须在深圳市的绿色建筑标识管理</w:t>
      </w:r>
      <w:r>
        <w:rPr>
          <w:rFonts w:hint="eastAsia" w:ascii="Times New Roman" w:hAnsi="Times New Roman" w:eastAsia="仿宋_GB2312" w:cs="Times New Roman"/>
          <w:sz w:val="32"/>
          <w:szCs w:val="32"/>
          <w:lang w:val="en-US" w:eastAsia="zh-CN"/>
        </w:rPr>
        <w:t>信息</w:t>
      </w:r>
      <w:r>
        <w:rPr>
          <w:rFonts w:hint="eastAsia" w:ascii="Times New Roman" w:hAnsi="Times New Roman" w:eastAsia="仿宋_GB2312" w:cs="Times New Roman"/>
          <w:sz w:val="32"/>
          <w:szCs w:val="32"/>
        </w:rPr>
        <w:t>系统中进行申报。</w:t>
      </w:r>
    </w:p>
    <w:p>
      <w:pPr>
        <w:snapToGrid w:val="0"/>
        <w:spacing w:line="560" w:lineRule="exact"/>
        <w:ind w:firstLine="642" w:firstLineChars="200"/>
        <w:outlineLvl w:val="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（三）明确深圳市绿色建筑标识评价的强制范围</w:t>
      </w:r>
    </w:p>
    <w:p>
      <w:pPr>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依据《深圳经济特区绿色建筑条例》，并结合深圳市绿色建筑发展的要求，明确了本市行政区域内国家机关办公建筑、财政性资金参与投资建设的公共建筑及保障性住房</w:t>
      </w:r>
      <w:r>
        <w:rPr>
          <w:rFonts w:hint="eastAsia" w:ascii="Times New Roman" w:hAnsi="Times New Roman" w:eastAsia="仿宋_GB2312" w:cs="Times New Roman"/>
          <w:sz w:val="32"/>
          <w:szCs w:val="32"/>
          <w:lang w:eastAsia="zh-CN"/>
        </w:rPr>
        <w:t>、</w:t>
      </w:r>
      <w:r>
        <w:rPr>
          <w:rFonts w:hint="eastAsia" w:ascii="仿宋_GB2312" w:hAnsi="仿宋_GB2312" w:eastAsia="仿宋_GB2312" w:cs="仿宋_GB2312"/>
          <w:sz w:val="32"/>
          <w:szCs w:val="32"/>
          <w:lang w:val="en-US" w:eastAsia="zh-CN"/>
        </w:rPr>
        <w:t>建筑面积大于10万平方米的公共建筑</w:t>
      </w:r>
      <w:r>
        <w:rPr>
          <w:rFonts w:hint="eastAsia" w:ascii="Times New Roman" w:hAnsi="Times New Roman" w:eastAsia="仿宋_GB2312" w:cs="Times New Roman"/>
          <w:sz w:val="32"/>
          <w:szCs w:val="32"/>
        </w:rPr>
        <w:t>，申报绿色金融、财政支持、容积率奖励的建筑必须获得评价标识，</w:t>
      </w:r>
      <w:r>
        <w:rPr>
          <w:rFonts w:hint="eastAsia" w:ascii="Times New Roman" w:hAnsi="Times New Roman" w:eastAsia="仿宋_GB2312" w:cs="Times New Roman"/>
          <w:sz w:val="32"/>
          <w:szCs w:val="32"/>
          <w:lang w:val="en-US" w:eastAsia="zh-CN"/>
        </w:rPr>
        <w:t>其中，</w:t>
      </w:r>
      <w:r>
        <w:rPr>
          <w:rFonts w:hint="eastAsia" w:ascii="仿宋_GB2312" w:hAnsi="仿宋_GB2312" w:eastAsia="仿宋_GB2312" w:cs="仿宋_GB2312"/>
          <w:sz w:val="32"/>
          <w:szCs w:val="32"/>
          <w:lang w:val="en-US" w:eastAsia="zh-CN"/>
        </w:rPr>
        <w:t>申报一星级、二星级绿色建筑评价标识的应当</w:t>
      </w:r>
      <w:r>
        <w:rPr>
          <w:rFonts w:hint="eastAsia" w:ascii="仿宋_GB2312" w:hAnsi="仿宋_GB2312" w:eastAsia="仿宋_GB2312" w:cs="仿宋_GB2312"/>
          <w:sz w:val="32"/>
          <w:szCs w:val="32"/>
        </w:rPr>
        <w:t>在竣工备案后</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年内</w:t>
      </w:r>
      <w:r>
        <w:rPr>
          <w:rFonts w:hint="eastAsia" w:ascii="仿宋_GB2312" w:hAnsi="仿宋_GB2312" w:eastAsia="仿宋_GB2312" w:cs="仿宋_GB2312"/>
          <w:sz w:val="32"/>
          <w:szCs w:val="32"/>
          <w:lang w:val="en-US" w:eastAsia="zh-CN"/>
        </w:rPr>
        <w:t>申报，申报三星级绿色建筑评价标识的应当在竣工备案2年内申报</w:t>
      </w:r>
      <w:r>
        <w:rPr>
          <w:rFonts w:hint="eastAsia" w:ascii="Times New Roman" w:hAnsi="Times New Roman" w:eastAsia="仿宋_GB2312" w:cs="Times New Roman"/>
          <w:sz w:val="32"/>
          <w:szCs w:val="32"/>
        </w:rPr>
        <w:t>。</w:t>
      </w:r>
    </w:p>
    <w:p>
      <w:pPr>
        <w:snapToGrid w:val="0"/>
        <w:spacing w:line="560" w:lineRule="exact"/>
        <w:ind w:firstLine="642" w:firstLineChars="200"/>
        <w:outlineLvl w:val="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（四）明确深圳市绿色建筑标识申报的基础条件</w:t>
      </w:r>
    </w:p>
    <w:p>
      <w:pPr>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深圳市绿色建筑项目申报标识的前提是</w:t>
      </w:r>
      <w:r>
        <w:rPr>
          <w:rFonts w:hint="eastAsia" w:ascii="仿宋_GB2312" w:hAnsi="仿宋_GB2312" w:eastAsia="仿宋_GB2312" w:cs="仿宋_GB2312"/>
          <w:sz w:val="32"/>
          <w:szCs w:val="32"/>
          <w:lang w:bidi="ar"/>
        </w:rPr>
        <w:t>通过建设工程竣工验收并完成备案</w:t>
      </w:r>
      <w:r>
        <w:rPr>
          <w:rFonts w:hint="eastAsia" w:ascii="Times New Roman" w:hAnsi="Times New Roman" w:eastAsia="仿宋_GB2312" w:cs="Times New Roman"/>
          <w:sz w:val="32"/>
          <w:szCs w:val="32"/>
        </w:rPr>
        <w:t>，</w:t>
      </w:r>
      <w:r>
        <w:rPr>
          <w:rFonts w:hint="eastAsia" w:ascii="仿宋_GB2312" w:hAnsi="仿宋_GB2312" w:eastAsia="仿宋_GB2312" w:cs="仿宋_GB2312"/>
          <w:sz w:val="32"/>
          <w:szCs w:val="32"/>
          <w:lang w:val="en-US" w:eastAsia="zh-CN" w:bidi="ar"/>
        </w:rPr>
        <w:t>符合国家和地方绿色建筑相关政策规定</w:t>
      </w:r>
      <w:r>
        <w:rPr>
          <w:rFonts w:hint="eastAsia" w:ascii="Times New Roman" w:hAnsi="Times New Roman" w:eastAsia="仿宋_GB2312" w:cs="Times New Roman"/>
          <w:sz w:val="32"/>
          <w:szCs w:val="32"/>
        </w:rPr>
        <w:t>，</w:t>
      </w:r>
      <w:r>
        <w:rPr>
          <w:rFonts w:hint="eastAsia" w:ascii="仿宋_GB2312" w:hAnsi="仿宋_GB2312" w:eastAsia="仿宋_GB2312" w:cs="仿宋_GB2312"/>
          <w:sz w:val="32"/>
          <w:szCs w:val="32"/>
          <w:lang w:bidi="ar"/>
        </w:rPr>
        <w:t>满足国家绿色建筑相关评价标准相应等级要求</w:t>
      </w:r>
      <w:r>
        <w:rPr>
          <w:rFonts w:hint="eastAsia" w:ascii="Times New Roman" w:hAnsi="Times New Roman" w:eastAsia="仿宋_GB2312" w:cs="Times New Roman"/>
          <w:sz w:val="32"/>
          <w:szCs w:val="32"/>
        </w:rPr>
        <w:t>。</w:t>
      </w:r>
    </w:p>
    <w:p>
      <w:pPr>
        <w:snapToGrid w:val="0"/>
        <w:spacing w:line="560" w:lineRule="exact"/>
        <w:ind w:firstLine="642" w:firstLineChars="200"/>
        <w:outlineLvl w:val="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（五）明确已获得标识项目的监督要求</w:t>
      </w:r>
    </w:p>
    <w:p>
      <w:pPr>
        <w:snapToGrid w:val="0"/>
        <w:spacing w:line="56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确定由市住房建设主管部门</w:t>
      </w:r>
      <w:r>
        <w:rPr>
          <w:rFonts w:hint="eastAsia" w:ascii="仿宋_GB2312" w:hAnsi="仿宋_GB2312" w:eastAsia="仿宋_GB2312" w:cs="仿宋_GB2312"/>
          <w:sz w:val="32"/>
          <w:szCs w:val="32"/>
        </w:rPr>
        <w:t>加强对绿色建筑标识项目的监督，可聘请第三方对获得绿色建筑标识项目进行抽查检查</w:t>
      </w:r>
      <w:r>
        <w:rPr>
          <w:rFonts w:hint="eastAsia" w:ascii="Times New Roman" w:hAnsi="Times New Roman" w:eastAsia="仿宋_GB2312" w:cs="Times New Roman"/>
          <w:sz w:val="32"/>
          <w:szCs w:val="32"/>
        </w:rPr>
        <w:t>。</w:t>
      </w:r>
      <w:r>
        <w:rPr>
          <w:rFonts w:hint="eastAsia" w:ascii="仿宋_GB2312" w:hAnsi="仿宋_GB2312" w:eastAsia="仿宋_GB2312" w:cs="仿宋_GB2312"/>
          <w:sz w:val="32"/>
          <w:szCs w:val="32"/>
          <w:lang w:bidi="ar"/>
        </w:rPr>
        <w:t>区住房建设主管部门定期抽取一定比例的建筑开展绿色建筑后评估工作</w:t>
      </w:r>
      <w:r>
        <w:rPr>
          <w:rFonts w:hint="eastAsia" w:ascii="仿宋_GB2312" w:hAnsi="仿宋_GB2312" w:eastAsia="仿宋_GB2312" w:cs="仿宋_GB2312"/>
          <w:sz w:val="32"/>
          <w:szCs w:val="32"/>
          <w:lang w:eastAsia="zh-CN" w:bidi="ar"/>
        </w:rPr>
        <w:t>。</w:t>
      </w:r>
    </w:p>
    <w:p>
      <w:pPr>
        <w:snapToGrid w:val="0"/>
        <w:spacing w:line="560" w:lineRule="exact"/>
        <w:ind w:firstLine="640" w:firstLineChars="200"/>
        <w:rPr>
          <w:rFonts w:ascii="楷体_GB2312" w:hAnsi="楷体" w:eastAsia="楷体_GB2312" w:cs="Times New Roman"/>
          <w:sz w:val="32"/>
          <w:szCs w:val="32"/>
        </w:rPr>
      </w:pPr>
      <w:r>
        <w:rPr>
          <w:rFonts w:hint="eastAsia" w:ascii="Times New Roman" w:hAnsi="Times New Roman" w:eastAsia="仿宋_GB2312" w:cs="Times New Roman"/>
          <w:sz w:val="32"/>
          <w:szCs w:val="32"/>
        </w:rPr>
        <w:t>已获取标识的项目必须按照要求在</w:t>
      </w:r>
      <w:r>
        <w:rPr>
          <w:rFonts w:hint="eastAsia" w:ascii="仿宋_GB2312" w:hAnsi="仿宋_GB2312" w:eastAsia="仿宋_GB2312" w:cs="仿宋_GB2312"/>
          <w:sz w:val="32"/>
          <w:szCs w:val="32"/>
        </w:rPr>
        <w:t>建筑或小区公共空间显著位置悬挂、张贴或摆放</w:t>
      </w:r>
      <w:r>
        <w:rPr>
          <w:rFonts w:hint="eastAsia" w:ascii="Times New Roman" w:hAnsi="Times New Roman" w:eastAsia="仿宋_GB2312" w:cs="Times New Roman"/>
          <w:sz w:val="32"/>
          <w:szCs w:val="32"/>
        </w:rPr>
        <w:t>，</w:t>
      </w:r>
      <w:r>
        <w:rPr>
          <w:rFonts w:hint="eastAsia" w:ascii="仿宋_GB2312" w:hAnsi="仿宋_GB2312" w:eastAsia="仿宋_GB2312" w:cs="仿宋_GB2312"/>
          <w:sz w:val="32"/>
          <w:szCs w:val="32"/>
        </w:rPr>
        <w:t>接受社会监督。</w:t>
      </w:r>
      <w:r>
        <w:rPr>
          <w:rFonts w:hint="eastAsia" w:ascii="Times New Roman" w:hAnsi="Times New Roman" w:eastAsia="仿宋_GB2312" w:cs="Times New Roman"/>
          <w:sz w:val="32"/>
          <w:szCs w:val="32"/>
        </w:rPr>
        <w:t>同时，</w:t>
      </w:r>
      <w:r>
        <w:rPr>
          <w:rFonts w:hint="eastAsia" w:ascii="仿宋_GB2312" w:hAnsi="仿宋_GB2312" w:eastAsia="仿宋_GB2312" w:cs="仿宋_GB2312"/>
          <w:sz w:val="32"/>
          <w:szCs w:val="32"/>
        </w:rPr>
        <w:t>项目运营单位或业主，应强化绿色建筑运行管理，加强运行指标与申报绿色建筑星级指标对比，</w:t>
      </w:r>
      <w:r>
        <w:rPr>
          <w:rFonts w:hint="eastAsia" w:ascii="Times New Roman" w:hAnsi="Times New Roman" w:eastAsia="仿宋_GB2312" w:cs="Times New Roman"/>
          <w:sz w:val="32"/>
          <w:szCs w:val="32"/>
        </w:rPr>
        <w:t>每年将年度运行主要指标按相关要求上报市住房建设主管部门。</w:t>
      </w:r>
    </w:p>
    <w:p>
      <w:pPr>
        <w:numPr>
          <w:ilvl w:val="0"/>
          <w:numId w:val="1"/>
        </w:numPr>
        <w:snapToGrid w:val="0"/>
        <w:spacing w:line="560" w:lineRule="exact"/>
        <w:ind w:firstLine="640" w:firstLineChars="200"/>
        <w:outlineLvl w:val="0"/>
        <w:rPr>
          <w:rFonts w:ascii="黑体" w:hAnsi="黑体" w:eastAsia="黑体" w:cs="Times New Roman"/>
          <w:sz w:val="32"/>
          <w:szCs w:val="32"/>
        </w:rPr>
      </w:pPr>
      <w:r>
        <w:rPr>
          <w:rFonts w:hint="eastAsia" w:ascii="黑体" w:hAnsi="黑体" w:eastAsia="黑体" w:cs="Times New Roman"/>
          <w:sz w:val="32"/>
          <w:szCs w:val="32"/>
        </w:rPr>
        <w:t>《管理办</w:t>
      </w:r>
      <w:r>
        <w:rPr>
          <w:rFonts w:hint="eastAsia" w:ascii="黑体" w:hAnsi="黑体" w:eastAsia="黑体" w:cs="Times New Roman"/>
          <w:sz w:val="32"/>
          <w:szCs w:val="32"/>
          <w:lang w:val="en-US" w:eastAsia="zh-CN"/>
        </w:rPr>
        <w:t>法</w:t>
      </w:r>
      <w:r>
        <w:rPr>
          <w:rFonts w:hint="eastAsia" w:ascii="黑体" w:hAnsi="黑体" w:eastAsia="黑体" w:cs="Times New Roman"/>
          <w:sz w:val="32"/>
          <w:szCs w:val="32"/>
        </w:rPr>
        <w:t>》主要亮点</w:t>
      </w:r>
    </w:p>
    <w:p>
      <w:pPr>
        <w:numPr>
          <w:ilvl w:val="-1"/>
          <w:numId w:val="0"/>
        </w:numPr>
        <w:snapToGrid w:val="0"/>
        <w:spacing w:line="560" w:lineRule="exact"/>
        <w:ind w:firstLine="642" w:firstLineChars="200"/>
        <w:outlineLvl w:val="0"/>
        <w:rPr>
          <w:rFonts w:hint="eastAsia" w:ascii="Times New Roman" w:hAnsi="Times New Roman" w:eastAsia="仿宋_GB2312" w:cs="Times New Roman"/>
          <w:sz w:val="32"/>
          <w:szCs w:val="32"/>
        </w:rPr>
      </w:pPr>
      <w:r>
        <w:rPr>
          <w:rFonts w:hint="eastAsia" w:ascii="楷体_GB2312" w:hAnsi="Times New Roman" w:eastAsia="楷体_GB2312" w:cs="Times New Roman"/>
          <w:b/>
          <w:sz w:val="32"/>
          <w:szCs w:val="32"/>
          <w:lang w:val="en-US" w:eastAsia="zh-CN"/>
        </w:rPr>
        <w:t>(一）</w:t>
      </w:r>
      <w:r>
        <w:rPr>
          <w:rFonts w:hint="eastAsia" w:ascii="楷体_GB2312" w:hAnsi="Times New Roman" w:eastAsia="楷体_GB2312" w:cs="Times New Roman"/>
          <w:b/>
          <w:sz w:val="32"/>
          <w:szCs w:val="32"/>
        </w:rPr>
        <w:t>实行强制性标识评价，</w:t>
      </w:r>
      <w:r>
        <w:rPr>
          <w:rFonts w:hint="eastAsia" w:ascii="楷体_GB2312" w:hAnsi="Times New Roman" w:eastAsia="楷体_GB2312" w:cs="Times New Roman"/>
          <w:b/>
          <w:sz w:val="32"/>
          <w:szCs w:val="32"/>
          <w:lang w:val="en-US" w:eastAsia="zh-CN"/>
        </w:rPr>
        <w:t>促进绿色建筑高质量发展</w:t>
      </w:r>
      <w:r>
        <w:rPr>
          <w:rFonts w:hint="eastAsia" w:ascii="楷体_GB2312" w:hAnsi="Times New Roman" w:eastAsia="楷体_GB2312" w:cs="Times New Roman"/>
          <w:bCs/>
          <w:sz w:val="32"/>
          <w:szCs w:val="32"/>
        </w:rPr>
        <w:t>。</w:t>
      </w:r>
      <w:r>
        <w:rPr>
          <w:rFonts w:ascii="Times New Roman" w:hAnsi="Times New Roman" w:eastAsia="仿宋_GB2312" w:cs="Times New Roman"/>
          <w:bCs w:val="0"/>
          <w:sz w:val="32"/>
          <w:szCs w:val="32"/>
        </w:rPr>
        <w:t>深圳市绿色建筑发展持续走在全国前列</w:t>
      </w:r>
      <w:r>
        <w:rPr>
          <w:rFonts w:hint="eastAsia" w:ascii="Times New Roman" w:hAnsi="Times New Roman" w:eastAsia="仿宋_GB2312" w:cs="Times New Roman"/>
          <w:bCs w:val="0"/>
          <w:sz w:val="32"/>
          <w:szCs w:val="32"/>
        </w:rPr>
        <w:t>，绿色建筑标识数量和面积均处于全国领先</w:t>
      </w:r>
      <w:r>
        <w:rPr>
          <w:rFonts w:hint="eastAsia" w:ascii="Times New Roman" w:hAnsi="Times New Roman" w:eastAsia="仿宋_GB2312" w:cs="Times New Roman"/>
          <w:color w:val="auto"/>
          <w:kern w:val="2"/>
          <w:sz w:val="32"/>
          <w:szCs w:val="32"/>
        </w:rPr>
        <w:t>。</w:t>
      </w:r>
      <w:r>
        <w:rPr>
          <w:rFonts w:hint="eastAsia" w:ascii="Times New Roman" w:hAnsi="Times New Roman" w:eastAsia="仿宋_GB2312" w:cs="Times New Roman"/>
          <w:sz w:val="32"/>
          <w:szCs w:val="32"/>
        </w:rPr>
        <w:t>《管理办法》在国家和省市的相关要求基础上，结合《深圳经济特区绿色建筑条例》的规定，进一步明确了强制性标识评价的项目范围，即将</w:t>
      </w:r>
      <w:r>
        <w:rPr>
          <w:rFonts w:hint="eastAsia" w:ascii="仿宋_GB2312" w:hAnsi="仿宋_GB2312" w:eastAsia="仿宋_GB2312" w:cs="仿宋_GB2312"/>
          <w:sz w:val="32"/>
          <w:szCs w:val="32"/>
        </w:rPr>
        <w:t>国家机关办公建筑、财政性资金参与投资建设的公共建筑及保障性住房</w:t>
      </w:r>
      <w:r>
        <w:rPr>
          <w:rFonts w:hint="eastAsia" w:ascii="Times New Roman" w:hAnsi="Times New Roman" w:eastAsia="仿宋_GB2312" w:cs="Times New Roman"/>
          <w:sz w:val="32"/>
          <w:szCs w:val="32"/>
          <w:lang w:eastAsia="zh-CN"/>
        </w:rPr>
        <w:t>、</w:t>
      </w:r>
      <w:r>
        <w:rPr>
          <w:rFonts w:hint="eastAsia" w:ascii="仿宋_GB2312" w:hAnsi="仿宋_GB2312" w:eastAsia="仿宋_GB2312" w:cs="仿宋_GB2312"/>
          <w:sz w:val="32"/>
          <w:szCs w:val="32"/>
          <w:lang w:val="en-US" w:eastAsia="zh-CN"/>
        </w:rPr>
        <w:t>建筑面积大于10万平方米的公共建筑</w:t>
      </w:r>
      <w:r>
        <w:rPr>
          <w:rFonts w:hint="eastAsia" w:ascii="仿宋_GB2312" w:hAnsi="仿宋_GB2312" w:eastAsia="仿宋_GB2312" w:cs="仿宋_GB2312"/>
          <w:sz w:val="32"/>
          <w:szCs w:val="32"/>
        </w:rPr>
        <w:t>，申报绿色金融、财政支持、容积率奖励的建筑</w:t>
      </w:r>
      <w:r>
        <w:rPr>
          <w:rFonts w:hint="eastAsia" w:ascii="Times New Roman" w:hAnsi="Times New Roman" w:eastAsia="仿宋_GB2312" w:cs="Times New Roman"/>
          <w:sz w:val="32"/>
          <w:szCs w:val="32"/>
        </w:rPr>
        <w:t>列入强制标识范围。强制标识范围的确定符合当下深圳市绿色建筑发展需求，将绿色建筑的性能真正落地。</w:t>
      </w:r>
    </w:p>
    <w:p>
      <w:pPr>
        <w:spacing w:line="360" w:lineRule="auto"/>
        <w:ind w:firstLine="642" w:firstLineChars="200"/>
        <w:jc w:val="left"/>
        <w:rPr>
          <w:rFonts w:hint="eastAsia" w:ascii="仿宋_GB2312" w:hAnsi="仿宋_GB2312" w:eastAsia="仿宋_GB2312" w:cs="仿宋_GB2312"/>
          <w:sz w:val="32"/>
          <w:szCs w:val="32"/>
        </w:rPr>
      </w:pPr>
      <w:r>
        <w:rPr>
          <w:rFonts w:hint="eastAsia" w:ascii="楷体_GB2312" w:hAnsi="Times New Roman" w:eastAsia="楷体_GB2312" w:cs="Times New Roman"/>
          <w:b/>
          <w:sz w:val="32"/>
          <w:szCs w:val="32"/>
        </w:rPr>
        <w:t>（二）实施强制性预评价，强化绿色建筑建设全过程监管。</w:t>
      </w:r>
      <w:r>
        <w:rPr>
          <w:rFonts w:hint="eastAsia" w:ascii="Times New Roman" w:hAnsi="Times New Roman" w:eastAsia="仿宋_GB2312" w:cs="Times New Roman"/>
          <w:sz w:val="32"/>
          <w:szCs w:val="32"/>
        </w:rPr>
        <w:t>国家标准《绿色建筑评价标准》GB/T</w:t>
      </w:r>
      <w:r>
        <w:rPr>
          <w:rFonts w:ascii="Times New Roman" w:hAnsi="Times New Roman" w:eastAsia="仿宋_GB2312" w:cs="Times New Roman"/>
          <w:sz w:val="32"/>
          <w:szCs w:val="32"/>
        </w:rPr>
        <w:t>50378</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2019</w:t>
      </w:r>
      <w:r>
        <w:rPr>
          <w:rFonts w:hint="eastAsia" w:ascii="Times New Roman" w:hAnsi="Times New Roman" w:eastAsia="仿宋_GB2312" w:cs="Times New Roman"/>
          <w:sz w:val="32"/>
          <w:szCs w:val="32"/>
        </w:rPr>
        <w:t>规定：绿色建筑评价应在建筑工程竣工后进行，在建筑工程施工图设计完成后，可进行预评价。设计标识的取消，使得项目</w:t>
      </w:r>
      <w:r>
        <w:rPr>
          <w:rFonts w:hint="eastAsia" w:ascii="仿宋_GB2312" w:hAnsi="Times New Roman" w:eastAsia="仿宋_GB2312" w:cs="Times New Roman"/>
          <w:sz w:val="32"/>
          <w:szCs w:val="32"/>
        </w:rPr>
        <w:t>从规划开始到竣工后具备标识评价条件时，整个过程当中缺乏有力的监管节点，技术路径缺少把控，且竣工后需要进行现场整改的难度远高于设计阶段。基于此，</w:t>
      </w:r>
      <w:r>
        <w:rPr>
          <w:rFonts w:hint="eastAsia" w:ascii="Times New Roman" w:hAnsi="Times New Roman" w:eastAsia="仿宋_GB2312" w:cs="Times New Roman"/>
          <w:sz w:val="32"/>
          <w:szCs w:val="32"/>
        </w:rPr>
        <w:t>《管理办法》明确了强制性预评价的项目范围，即</w:t>
      </w:r>
      <w:r>
        <w:rPr>
          <w:rFonts w:hint="eastAsia" w:ascii="仿宋_GB2312" w:hAnsi="仿宋_GB2312" w:eastAsia="仿宋_GB2312" w:cs="仿宋_GB2312"/>
          <w:sz w:val="32"/>
          <w:szCs w:val="32"/>
        </w:rPr>
        <w:t>建设单位应当</w:t>
      </w:r>
      <w:r>
        <w:rPr>
          <w:rFonts w:hint="eastAsia" w:ascii="仿宋_GB2312" w:hAnsi="仿宋_GB2312" w:eastAsia="仿宋_GB2312" w:cs="仿宋_GB2312"/>
          <w:sz w:val="32"/>
          <w:szCs w:val="32"/>
          <w:lang w:val="en-US" w:eastAsia="zh-CN"/>
        </w:rPr>
        <w:t>在</w:t>
      </w:r>
      <w:r>
        <w:rPr>
          <w:rFonts w:hint="eastAsia" w:ascii="仿宋_GB2312" w:hAnsi="仿宋_GB2312" w:eastAsia="仿宋_GB2312" w:cs="仿宋_GB2312"/>
          <w:sz w:val="32"/>
          <w:szCs w:val="32"/>
        </w:rPr>
        <w:t>建筑工程施工图设计完成后自行组织</w:t>
      </w:r>
      <w:r>
        <w:rPr>
          <w:rFonts w:hint="eastAsia" w:ascii="仿宋_GB2312" w:hAnsi="仿宋_GB2312" w:eastAsia="仿宋_GB2312" w:cs="仿宋_GB2312"/>
          <w:sz w:val="32"/>
          <w:szCs w:val="32"/>
          <w:lang w:val="en-US" w:eastAsia="zh-CN"/>
        </w:rPr>
        <w:t>或</w:t>
      </w:r>
      <w:r>
        <w:rPr>
          <w:rFonts w:hint="eastAsia" w:ascii="仿宋_GB2312" w:hAnsi="仿宋_GB2312" w:eastAsia="仿宋_GB2312" w:cs="仿宋_GB2312"/>
          <w:sz w:val="32"/>
          <w:szCs w:val="32"/>
        </w:rPr>
        <w:t>委托第三方评价机构开展绿色建筑预评价工作</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lang w:val="en-US" w:eastAsia="zh-CN"/>
        </w:rPr>
        <w:t>在深圳市建设工程勘察设计管理系统中上传预评价报告</w:t>
      </w:r>
      <w:r>
        <w:rPr>
          <w:rFonts w:hint="eastAsia" w:ascii="仿宋_GB2312" w:hAnsi="仿宋_GB2312" w:eastAsia="仿宋_GB2312" w:cs="仿宋_GB2312"/>
          <w:sz w:val="32"/>
          <w:szCs w:val="32"/>
        </w:rPr>
        <w:t>。</w:t>
      </w:r>
    </w:p>
    <w:p>
      <w:pPr>
        <w:snapToGrid w:val="0"/>
        <w:spacing w:line="560" w:lineRule="exact"/>
        <w:ind w:firstLine="420" w:firstLineChars="200"/>
        <w:rPr>
          <w:rFonts w:hint="eastAsia" w:eastAsia="仿宋_GB2312"/>
          <w:lang w:val="en-US" w:eastAsia="zh-CN"/>
        </w:rPr>
      </w:pPr>
      <w:r>
        <w:rPr>
          <w:rFonts w:hint="eastAsia"/>
          <w:lang w:val="en-US" w:eastAsia="zh-CN"/>
        </w:rPr>
        <w:t xml:space="preserve"> </w:t>
      </w:r>
      <w:r>
        <w:rPr>
          <w:rFonts w:hint="eastAsia" w:ascii="楷体_GB2312" w:hAnsi="Times New Roman" w:eastAsia="楷体_GB2312" w:cs="Times New Roman"/>
          <w:b/>
          <w:sz w:val="32"/>
          <w:szCs w:val="32"/>
          <w:lang w:val="en-US" w:eastAsia="zh-CN"/>
        </w:rPr>
        <w:t>（三）</w:t>
      </w:r>
      <w:r>
        <w:rPr>
          <w:rFonts w:hint="eastAsia" w:ascii="楷体_GB2312" w:hAnsi="Times New Roman" w:eastAsia="楷体_GB2312" w:cs="Times New Roman"/>
          <w:b/>
          <w:bCs w:val="0"/>
          <w:sz w:val="32"/>
          <w:szCs w:val="32"/>
          <w:lang w:val="en-US" w:eastAsia="zh-CN"/>
        </w:rPr>
        <w:t>加强</w:t>
      </w:r>
      <w:r>
        <w:rPr>
          <w:rFonts w:hint="eastAsia" w:ascii="楷体_GB2312" w:hAnsi="Times New Roman" w:eastAsia="楷体_GB2312" w:cs="Times New Roman"/>
          <w:b/>
          <w:bCs w:val="0"/>
          <w:sz w:val="32"/>
          <w:szCs w:val="32"/>
        </w:rPr>
        <w:t>绿色建筑标识</w:t>
      </w:r>
      <w:r>
        <w:rPr>
          <w:rFonts w:hint="eastAsia" w:ascii="楷体_GB2312" w:hAnsi="Times New Roman" w:eastAsia="楷体_GB2312" w:cs="Times New Roman"/>
          <w:b/>
          <w:bCs w:val="0"/>
          <w:sz w:val="32"/>
          <w:szCs w:val="32"/>
          <w:lang w:val="en-US" w:eastAsia="zh-CN"/>
        </w:rPr>
        <w:t>项目</w:t>
      </w:r>
      <w:r>
        <w:rPr>
          <w:rFonts w:hint="eastAsia" w:ascii="楷体_GB2312" w:hAnsi="Times New Roman" w:eastAsia="楷体_GB2312" w:cs="Times New Roman"/>
          <w:b/>
          <w:bCs w:val="0"/>
          <w:sz w:val="32"/>
          <w:szCs w:val="32"/>
        </w:rPr>
        <w:t>的</w:t>
      </w:r>
      <w:r>
        <w:rPr>
          <w:rFonts w:hint="eastAsia" w:ascii="楷体_GB2312" w:hAnsi="Times New Roman" w:eastAsia="楷体_GB2312" w:cs="Times New Roman"/>
          <w:b/>
          <w:bCs w:val="0"/>
          <w:sz w:val="32"/>
          <w:szCs w:val="32"/>
          <w:lang w:val="en-US" w:eastAsia="zh-CN"/>
        </w:rPr>
        <w:t>监管，</w:t>
      </w:r>
      <w:r>
        <w:rPr>
          <w:rFonts w:hint="eastAsia" w:ascii="楷体_GB2312" w:hAnsi="Times New Roman" w:eastAsia="楷体_GB2312" w:cs="Times New Roman"/>
          <w:b/>
          <w:sz w:val="32"/>
          <w:szCs w:val="32"/>
        </w:rPr>
        <w:t>提高绿色建筑性能的落地性</w:t>
      </w:r>
      <w:r>
        <w:rPr>
          <w:rFonts w:hint="eastAsia" w:ascii="楷体_GB2312" w:hAnsi="Times New Roman" w:eastAsia="楷体_GB2312" w:cs="Times New Roman"/>
          <w:b/>
          <w:bCs w:val="0"/>
          <w:sz w:val="32"/>
          <w:szCs w:val="32"/>
          <w:lang w:eastAsia="zh-CN"/>
        </w:rPr>
        <w:t>。</w:t>
      </w:r>
      <w:r>
        <w:rPr>
          <w:rFonts w:hint="eastAsia" w:ascii="Times New Roman" w:hAnsi="Times New Roman" w:eastAsia="仿宋_GB2312" w:cs="Times New Roman"/>
          <w:b w:val="0"/>
          <w:bCs w:val="0"/>
          <w:sz w:val="32"/>
          <w:szCs w:val="32"/>
          <w:lang w:eastAsia="zh-CN"/>
        </w:rPr>
        <w:t>截至2021年底，全市累计有1521个项目获得绿色建筑评价标识，总建筑面积超过1.46亿平方米。</w:t>
      </w:r>
      <w:r>
        <w:rPr>
          <w:rFonts w:hint="eastAsia" w:ascii="Times New Roman" w:hAnsi="Times New Roman" w:eastAsia="仿宋_GB2312" w:cs="Times New Roman"/>
          <w:b w:val="0"/>
          <w:bCs w:val="0"/>
          <w:sz w:val="32"/>
          <w:szCs w:val="32"/>
          <w:lang w:val="en-US" w:eastAsia="zh-CN"/>
        </w:rPr>
        <w:t>但仅有</w:t>
      </w:r>
      <w:r>
        <w:rPr>
          <w:rFonts w:hint="eastAsia" w:ascii="Times New Roman" w:hAnsi="Times New Roman" w:eastAsia="仿宋_GB2312" w:cs="Times New Roman"/>
          <w:b w:val="0"/>
          <w:bCs w:val="0"/>
          <w:sz w:val="32"/>
          <w:szCs w:val="32"/>
          <w:lang w:eastAsia="zh-CN"/>
        </w:rPr>
        <w:t>39个项目获得运行标识，绿色建筑运行标识项目占全市绿色建筑面积的比例约为3%。“</w:t>
      </w:r>
      <w:r>
        <w:rPr>
          <w:rFonts w:hint="eastAsia" w:ascii="Times New Roman" w:hAnsi="Times New Roman" w:eastAsia="仿宋_GB2312" w:cs="Times New Roman"/>
          <w:b w:val="0"/>
          <w:bCs w:val="0"/>
          <w:sz w:val="32"/>
          <w:szCs w:val="32"/>
          <w:lang w:val="en-US" w:eastAsia="zh-CN"/>
        </w:rPr>
        <w:t>重设计、轻运营”的现象很普遍，而事实上</w:t>
      </w:r>
      <w:r>
        <w:rPr>
          <w:rFonts w:hint="eastAsia" w:ascii="Times New Roman" w:hAnsi="Times New Roman" w:eastAsia="仿宋_GB2312" w:cs="Times New Roman"/>
          <w:sz w:val="32"/>
          <w:szCs w:val="32"/>
          <w:lang w:val="en-US" w:eastAsia="zh-CN"/>
        </w:rPr>
        <w:t>绿色建筑不仅要做到“设计好、建设好”，更要做到“运营好”。</w:t>
      </w:r>
      <w:r>
        <w:rPr>
          <w:rFonts w:hint="eastAsia" w:ascii="仿宋_GB2312" w:hAnsi="Times New Roman" w:eastAsia="仿宋_GB2312" w:cs="Times New Roman"/>
          <w:sz w:val="32"/>
          <w:szCs w:val="32"/>
          <w:lang w:val="en-US" w:eastAsia="zh-CN"/>
        </w:rPr>
        <w:t>为进一步保障获得绿色建筑标识的项目能做到“运营好”</w:t>
      </w:r>
      <w:r>
        <w:rPr>
          <w:rFonts w:hint="eastAsia" w:ascii="仿宋_GB2312" w:hAnsi="Times New Roman" w:eastAsia="仿宋_GB2312" w:cs="Times New Roman"/>
          <w:sz w:val="32"/>
          <w:szCs w:val="32"/>
        </w:rPr>
        <w:t>，</w:t>
      </w:r>
      <w:r>
        <w:rPr>
          <w:rFonts w:hint="eastAsia" w:ascii="Times New Roman" w:hAnsi="Times New Roman" w:eastAsia="仿宋_GB2312" w:cs="Times New Roman"/>
          <w:sz w:val="32"/>
          <w:szCs w:val="32"/>
        </w:rPr>
        <w:t>《管理办法》明确了由市住房建设主管部门</w:t>
      </w:r>
      <w:r>
        <w:rPr>
          <w:rFonts w:hint="eastAsia" w:ascii="Times New Roman" w:hAnsi="Times New Roman" w:eastAsia="仿宋_GB2312" w:cs="Times New Roman"/>
          <w:sz w:val="32"/>
          <w:szCs w:val="32"/>
          <w:lang w:val="en-US" w:eastAsia="zh-CN"/>
        </w:rPr>
        <w:t>应</w:t>
      </w:r>
      <w:r>
        <w:rPr>
          <w:rFonts w:hint="eastAsia" w:ascii="仿宋_GB2312" w:hAnsi="仿宋_GB2312" w:eastAsia="仿宋_GB2312" w:cs="仿宋_GB2312"/>
          <w:sz w:val="32"/>
          <w:szCs w:val="32"/>
        </w:rPr>
        <w:t>加强对绿色建筑标识项目的监督，可聘请第三方对获得绿色建筑标识项目进行抽查检查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bidi="ar"/>
        </w:rPr>
        <w:t>区住房建设主管部门定期抽取一定比例的建筑开展绿色建筑后评估工作</w:t>
      </w:r>
      <w:r>
        <w:rPr>
          <w:rFonts w:hint="eastAsia" w:ascii="Times New Roman" w:hAnsi="Times New Roman" w:eastAsia="仿宋_GB2312" w:cs="Times New Roman"/>
          <w:sz w:val="32"/>
          <w:szCs w:val="32"/>
        </w:rPr>
        <w:t>。</w:t>
      </w:r>
      <w:r>
        <w:rPr>
          <w:rFonts w:hint="eastAsia" w:ascii="仿宋_GB2312" w:hAnsi="仿宋_GB2312" w:eastAsia="仿宋_GB2312" w:cs="仿宋_GB2312"/>
          <w:sz w:val="32"/>
          <w:szCs w:val="32"/>
        </w:rPr>
        <w:t>项目运营单位或业主，应强化绿色建筑运行管理，加强运行指标与申报绿色建筑星级指标对比，</w:t>
      </w:r>
      <w:r>
        <w:rPr>
          <w:rFonts w:hint="eastAsia" w:ascii="Times New Roman" w:hAnsi="Times New Roman" w:eastAsia="仿宋_GB2312" w:cs="Times New Roman"/>
          <w:sz w:val="32"/>
          <w:szCs w:val="32"/>
        </w:rPr>
        <w:t>每年将年度运行主要指标按相关要求上报市住房建设主管部门。</w:t>
      </w:r>
      <w:r>
        <w:rPr>
          <w:rFonts w:hint="eastAsia" w:ascii="Times New Roman" w:hAnsi="Times New Roman" w:eastAsia="仿宋_GB2312" w:cs="Times New Roman"/>
          <w:sz w:val="32"/>
          <w:szCs w:val="32"/>
          <w:lang w:val="en-US" w:eastAsia="zh-CN"/>
        </w:rPr>
        <w:t>对于</w:t>
      </w:r>
      <w:r>
        <w:rPr>
          <w:rFonts w:hint="eastAsia" w:ascii="仿宋_GB2312" w:hAnsi="仿宋_GB2312" w:eastAsia="仿宋_GB2312" w:cs="仿宋_GB2312"/>
          <w:sz w:val="32"/>
          <w:szCs w:val="32"/>
          <w:lang w:bidi="ar"/>
        </w:rPr>
        <w:t>获得绿色建筑标识的项目存在连续两年以上不如实上报主要指标数据</w:t>
      </w:r>
      <w:r>
        <w:rPr>
          <w:rFonts w:hint="eastAsia" w:ascii="仿宋_GB2312" w:hAnsi="仿宋_GB2312" w:eastAsia="仿宋_GB2312" w:cs="仿宋_GB2312"/>
          <w:sz w:val="32"/>
          <w:szCs w:val="32"/>
          <w:lang w:val="en-US" w:eastAsia="zh-CN" w:bidi="ar"/>
        </w:rPr>
        <w:t>或</w:t>
      </w:r>
      <w:r>
        <w:rPr>
          <w:rFonts w:hint="eastAsia" w:ascii="仿宋_GB2312" w:hAnsi="仿宋_GB2312" w:eastAsia="仿宋_GB2312" w:cs="仿宋_GB2312"/>
          <w:sz w:val="32"/>
          <w:szCs w:val="32"/>
          <w:lang w:bidi="ar"/>
        </w:rPr>
        <w:t>主要性能低于绿色建筑标识证书的指标，应提出限期整改要求，</w:t>
      </w:r>
      <w:r>
        <w:rPr>
          <w:rFonts w:hint="eastAsia" w:ascii="仿宋_GB2312" w:hAnsi="仿宋_GB2312" w:eastAsia="仿宋_GB2312" w:cs="仿宋_GB2312"/>
          <w:sz w:val="32"/>
          <w:szCs w:val="32"/>
          <w:lang w:val="en-US" w:eastAsia="zh-CN" w:bidi="ar"/>
        </w:rPr>
        <w:t>未完成整改的将</w:t>
      </w:r>
      <w:r>
        <w:rPr>
          <w:rFonts w:hint="eastAsia" w:ascii="仿宋_GB2312" w:hAnsi="仿宋_GB2312" w:eastAsia="仿宋_GB2312" w:cs="仿宋_GB2312"/>
          <w:sz w:val="32"/>
          <w:szCs w:val="32"/>
          <w:lang w:bidi="ar"/>
        </w:rPr>
        <w:t>提请标识授予部门撤销其绿色建筑标识、收回标牌和证书</w:t>
      </w:r>
      <w:r>
        <w:rPr>
          <w:rFonts w:hint="eastAsia" w:ascii="仿宋_GB2312" w:hAnsi="仿宋_GB2312" w:eastAsia="仿宋_GB2312" w:cs="仿宋_GB2312"/>
          <w:sz w:val="32"/>
          <w:szCs w:val="32"/>
          <w:lang w:eastAsia="zh-CN" w:bidi="ar"/>
        </w:rPr>
        <w:t>。</w:t>
      </w:r>
    </w:p>
    <w:p>
      <w:pPr>
        <w:snapToGrid w:val="0"/>
        <w:spacing w:line="560" w:lineRule="exact"/>
        <w:ind w:firstLine="640" w:firstLineChars="200"/>
        <w:outlineLvl w:val="0"/>
        <w:rPr>
          <w:rFonts w:hint="eastAsia" w:ascii="Times New Roman" w:hAnsi="Times New Roman" w:eastAsia="仿宋_GB2312" w:cs="Times New Roman"/>
          <w:sz w:val="32"/>
          <w:szCs w:val="32"/>
        </w:rPr>
      </w:pPr>
    </w:p>
    <w:p>
      <w:pPr>
        <w:snapToGrid w:val="0"/>
        <w:spacing w:line="560" w:lineRule="exact"/>
        <w:ind w:firstLine="640" w:firstLineChars="200"/>
        <w:outlineLvl w:val="0"/>
        <w:rPr>
          <w:rFonts w:ascii="Times New Roman" w:hAnsi="Times New Roman" w:eastAsia="仿宋_GB2312" w:cs="Times New Roman"/>
          <w:sz w:val="32"/>
          <w:szCs w:val="32"/>
        </w:rPr>
      </w:pPr>
    </w:p>
    <w:sectPr>
      <w:headerReference r:id="rId3" w:type="default"/>
      <w:footerReference r:id="rId4" w:type="default"/>
      <w:pgSz w:w="11906" w:h="16838"/>
      <w:pgMar w:top="2041" w:right="1531" w:bottom="1871" w:left="1588"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9" w:usb3="00000000" w:csb0="200001F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方正楷体_GBK"/>
    <w:panose1 w:val="00000000000000000000"/>
    <w:charset w:val="86"/>
    <w:family w:val="modern"/>
    <w:pitch w:val="default"/>
    <w:sig w:usb0="00000000" w:usb1="00000000" w:usb2="0000001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4022690"/>
    </w:sdtPr>
    <w:sdtEndPr>
      <w:rPr>
        <w:rFonts w:ascii="仿宋" w:hAnsi="仿宋" w:eastAsia="仿宋" w:cs="Times New Roman"/>
        <w:sz w:val="28"/>
        <w:szCs w:val="28"/>
      </w:rPr>
    </w:sdtEndPr>
    <w:sdtContent>
      <w:p>
        <w:pPr>
          <w:pStyle w:val="10"/>
          <w:jc w:val="center"/>
          <w:rPr>
            <w:rFonts w:ascii="仿宋" w:hAnsi="仿宋" w:eastAsia="仿宋" w:cs="Times New Roman"/>
            <w:sz w:val="28"/>
            <w:szCs w:val="28"/>
          </w:rPr>
        </w:pPr>
        <w:r>
          <w:rPr>
            <w:rFonts w:ascii="仿宋" w:hAnsi="仿宋" w:eastAsia="仿宋" w:cs="Times New Roman"/>
            <w:sz w:val="28"/>
            <w:szCs w:val="28"/>
          </w:rPr>
          <w:fldChar w:fldCharType="begin"/>
        </w:r>
        <w:r>
          <w:rPr>
            <w:rFonts w:ascii="仿宋" w:hAnsi="仿宋" w:eastAsia="仿宋" w:cs="Times New Roman"/>
            <w:sz w:val="28"/>
            <w:szCs w:val="28"/>
          </w:rPr>
          <w:instrText xml:space="preserve">PAGE   \* MERGEFORMAT</w:instrText>
        </w:r>
        <w:r>
          <w:rPr>
            <w:rFonts w:ascii="仿宋" w:hAnsi="仿宋" w:eastAsia="仿宋" w:cs="Times New Roman"/>
            <w:sz w:val="28"/>
            <w:szCs w:val="28"/>
          </w:rPr>
          <w:fldChar w:fldCharType="separate"/>
        </w:r>
        <w:r>
          <w:rPr>
            <w:rFonts w:ascii="仿宋" w:hAnsi="仿宋" w:eastAsia="仿宋" w:cs="Times New Roman"/>
            <w:sz w:val="28"/>
            <w:szCs w:val="28"/>
            <w:lang w:val="zh-CN"/>
          </w:rPr>
          <w:t>-</w:t>
        </w:r>
        <w:r>
          <w:rPr>
            <w:rFonts w:ascii="仿宋" w:hAnsi="仿宋" w:eastAsia="仿宋" w:cs="Times New Roman"/>
            <w:sz w:val="28"/>
            <w:szCs w:val="28"/>
          </w:rPr>
          <w:t xml:space="preserve"> 1 -</w:t>
        </w:r>
        <w:r>
          <w:rPr>
            <w:rFonts w:ascii="仿宋" w:hAnsi="仿宋" w:eastAsia="仿宋" w:cs="Times New Roman"/>
            <w:sz w:val="28"/>
            <w:szCs w:val="28"/>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8C92EB"/>
    <w:multiLevelType w:val="singleLevel"/>
    <w:tmpl w:val="D58C92EB"/>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trackRevisions w:val="true"/>
  <w:documentProtection w:enforcement="0"/>
  <w:defaultTabStop w:val="420"/>
  <w:drawingGridHorizontalSpacing w:val="105"/>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2U4NWVmODIwNjE4ZWM5NmUwMDI3NGE1ODg0NDk0NGEifQ=="/>
  </w:docVars>
  <w:rsids>
    <w:rsidRoot w:val="00057221"/>
    <w:rsid w:val="000006FA"/>
    <w:rsid w:val="00001BD6"/>
    <w:rsid w:val="00003AB6"/>
    <w:rsid w:val="000056D2"/>
    <w:rsid w:val="00005E1B"/>
    <w:rsid w:val="00024151"/>
    <w:rsid w:val="00025F3E"/>
    <w:rsid w:val="000335B9"/>
    <w:rsid w:val="000374D9"/>
    <w:rsid w:val="00037CA5"/>
    <w:rsid w:val="00043D12"/>
    <w:rsid w:val="00045B8A"/>
    <w:rsid w:val="0004794D"/>
    <w:rsid w:val="00052638"/>
    <w:rsid w:val="00057221"/>
    <w:rsid w:val="00064FD2"/>
    <w:rsid w:val="00065231"/>
    <w:rsid w:val="00076BC6"/>
    <w:rsid w:val="000856A8"/>
    <w:rsid w:val="00093C41"/>
    <w:rsid w:val="00096863"/>
    <w:rsid w:val="000A23ED"/>
    <w:rsid w:val="000A5419"/>
    <w:rsid w:val="000A5C69"/>
    <w:rsid w:val="000A5DCB"/>
    <w:rsid w:val="000B189A"/>
    <w:rsid w:val="000B5E6F"/>
    <w:rsid w:val="000C042B"/>
    <w:rsid w:val="000C166F"/>
    <w:rsid w:val="000C18A5"/>
    <w:rsid w:val="000C2261"/>
    <w:rsid w:val="000D0779"/>
    <w:rsid w:val="000D2424"/>
    <w:rsid w:val="000D31F1"/>
    <w:rsid w:val="000D4398"/>
    <w:rsid w:val="000D48EC"/>
    <w:rsid w:val="000D4BBC"/>
    <w:rsid w:val="000E0527"/>
    <w:rsid w:val="000E1973"/>
    <w:rsid w:val="000E5F8C"/>
    <w:rsid w:val="000F0A71"/>
    <w:rsid w:val="0010053A"/>
    <w:rsid w:val="00100D3C"/>
    <w:rsid w:val="00102AF9"/>
    <w:rsid w:val="00103D9D"/>
    <w:rsid w:val="00107694"/>
    <w:rsid w:val="00114F26"/>
    <w:rsid w:val="00115471"/>
    <w:rsid w:val="00124616"/>
    <w:rsid w:val="00127BF4"/>
    <w:rsid w:val="00127CE8"/>
    <w:rsid w:val="00135D84"/>
    <w:rsid w:val="00136399"/>
    <w:rsid w:val="001365F0"/>
    <w:rsid w:val="00140703"/>
    <w:rsid w:val="00141979"/>
    <w:rsid w:val="00142681"/>
    <w:rsid w:val="00145A91"/>
    <w:rsid w:val="0015528F"/>
    <w:rsid w:val="00162F19"/>
    <w:rsid w:val="00164718"/>
    <w:rsid w:val="0016524A"/>
    <w:rsid w:val="00165E88"/>
    <w:rsid w:val="0017397B"/>
    <w:rsid w:val="00184D77"/>
    <w:rsid w:val="00185B61"/>
    <w:rsid w:val="00191B88"/>
    <w:rsid w:val="00191C1B"/>
    <w:rsid w:val="0019224C"/>
    <w:rsid w:val="001928F3"/>
    <w:rsid w:val="00194DC0"/>
    <w:rsid w:val="001A0060"/>
    <w:rsid w:val="001A2962"/>
    <w:rsid w:val="001A6837"/>
    <w:rsid w:val="001B7B91"/>
    <w:rsid w:val="001C12CF"/>
    <w:rsid w:val="001C445B"/>
    <w:rsid w:val="001C6841"/>
    <w:rsid w:val="001D4466"/>
    <w:rsid w:val="001D5B95"/>
    <w:rsid w:val="001D6FF3"/>
    <w:rsid w:val="001F093C"/>
    <w:rsid w:val="00204231"/>
    <w:rsid w:val="00211A26"/>
    <w:rsid w:val="0021428E"/>
    <w:rsid w:val="002153C9"/>
    <w:rsid w:val="00217093"/>
    <w:rsid w:val="00220AF6"/>
    <w:rsid w:val="00222BCA"/>
    <w:rsid w:val="002264FE"/>
    <w:rsid w:val="002355F1"/>
    <w:rsid w:val="0024029F"/>
    <w:rsid w:val="002421B1"/>
    <w:rsid w:val="00243AE9"/>
    <w:rsid w:val="00251B47"/>
    <w:rsid w:val="00252BB8"/>
    <w:rsid w:val="002548EA"/>
    <w:rsid w:val="002666B4"/>
    <w:rsid w:val="002750B9"/>
    <w:rsid w:val="00275532"/>
    <w:rsid w:val="00275FBA"/>
    <w:rsid w:val="002765A0"/>
    <w:rsid w:val="002819F6"/>
    <w:rsid w:val="00282C5B"/>
    <w:rsid w:val="00283487"/>
    <w:rsid w:val="00284100"/>
    <w:rsid w:val="00294E2C"/>
    <w:rsid w:val="00294ECE"/>
    <w:rsid w:val="002A54B5"/>
    <w:rsid w:val="002B24F7"/>
    <w:rsid w:val="002C2803"/>
    <w:rsid w:val="002C374C"/>
    <w:rsid w:val="002C6B4E"/>
    <w:rsid w:val="002D0A68"/>
    <w:rsid w:val="002D161E"/>
    <w:rsid w:val="002D394D"/>
    <w:rsid w:val="002F2419"/>
    <w:rsid w:val="003016B7"/>
    <w:rsid w:val="00303CC9"/>
    <w:rsid w:val="00305D14"/>
    <w:rsid w:val="00305D40"/>
    <w:rsid w:val="00306471"/>
    <w:rsid w:val="003075CB"/>
    <w:rsid w:val="003103F2"/>
    <w:rsid w:val="00312083"/>
    <w:rsid w:val="00313F01"/>
    <w:rsid w:val="00324F5C"/>
    <w:rsid w:val="00327387"/>
    <w:rsid w:val="003308FF"/>
    <w:rsid w:val="00331FD8"/>
    <w:rsid w:val="00332941"/>
    <w:rsid w:val="00333045"/>
    <w:rsid w:val="00336A01"/>
    <w:rsid w:val="003415EA"/>
    <w:rsid w:val="00342250"/>
    <w:rsid w:val="0034411E"/>
    <w:rsid w:val="00344726"/>
    <w:rsid w:val="0034650E"/>
    <w:rsid w:val="00347B0E"/>
    <w:rsid w:val="00352C8C"/>
    <w:rsid w:val="00354606"/>
    <w:rsid w:val="00356A64"/>
    <w:rsid w:val="003575B8"/>
    <w:rsid w:val="003660EB"/>
    <w:rsid w:val="00370F19"/>
    <w:rsid w:val="00372CC6"/>
    <w:rsid w:val="003734CA"/>
    <w:rsid w:val="00382A48"/>
    <w:rsid w:val="003850E8"/>
    <w:rsid w:val="00391B32"/>
    <w:rsid w:val="00393550"/>
    <w:rsid w:val="00395D9B"/>
    <w:rsid w:val="00395EAE"/>
    <w:rsid w:val="003A7CFA"/>
    <w:rsid w:val="003B2235"/>
    <w:rsid w:val="003B43E4"/>
    <w:rsid w:val="003C0666"/>
    <w:rsid w:val="003C35AA"/>
    <w:rsid w:val="003D1C09"/>
    <w:rsid w:val="003E0631"/>
    <w:rsid w:val="003E12DF"/>
    <w:rsid w:val="003E2FCA"/>
    <w:rsid w:val="003F4CFA"/>
    <w:rsid w:val="00402629"/>
    <w:rsid w:val="00405CE4"/>
    <w:rsid w:val="004075AF"/>
    <w:rsid w:val="004111A4"/>
    <w:rsid w:val="00411592"/>
    <w:rsid w:val="004134F3"/>
    <w:rsid w:val="0043130A"/>
    <w:rsid w:val="00431555"/>
    <w:rsid w:val="00432EC3"/>
    <w:rsid w:val="00443872"/>
    <w:rsid w:val="0044583E"/>
    <w:rsid w:val="004515EE"/>
    <w:rsid w:val="00454F3A"/>
    <w:rsid w:val="00455863"/>
    <w:rsid w:val="00456E69"/>
    <w:rsid w:val="004611CF"/>
    <w:rsid w:val="004614D9"/>
    <w:rsid w:val="004663CD"/>
    <w:rsid w:val="00475E64"/>
    <w:rsid w:val="00481509"/>
    <w:rsid w:val="0048282D"/>
    <w:rsid w:val="00493B29"/>
    <w:rsid w:val="0049495B"/>
    <w:rsid w:val="004A50DB"/>
    <w:rsid w:val="004B2A7F"/>
    <w:rsid w:val="004B37A0"/>
    <w:rsid w:val="004C325E"/>
    <w:rsid w:val="004C50D7"/>
    <w:rsid w:val="004C643D"/>
    <w:rsid w:val="004C75ED"/>
    <w:rsid w:val="004D2FCD"/>
    <w:rsid w:val="004D52A2"/>
    <w:rsid w:val="004E31A3"/>
    <w:rsid w:val="004E433B"/>
    <w:rsid w:val="00511CAE"/>
    <w:rsid w:val="005273BF"/>
    <w:rsid w:val="00537AFC"/>
    <w:rsid w:val="005466ED"/>
    <w:rsid w:val="0056019D"/>
    <w:rsid w:val="00562F49"/>
    <w:rsid w:val="00563ECC"/>
    <w:rsid w:val="00563F32"/>
    <w:rsid w:val="005648DF"/>
    <w:rsid w:val="00565016"/>
    <w:rsid w:val="005704A4"/>
    <w:rsid w:val="00583E8C"/>
    <w:rsid w:val="00585A39"/>
    <w:rsid w:val="0059609E"/>
    <w:rsid w:val="00597019"/>
    <w:rsid w:val="005A671F"/>
    <w:rsid w:val="005A70A3"/>
    <w:rsid w:val="005B4905"/>
    <w:rsid w:val="005B4916"/>
    <w:rsid w:val="005D3887"/>
    <w:rsid w:val="005D78EB"/>
    <w:rsid w:val="005E0F31"/>
    <w:rsid w:val="005E279A"/>
    <w:rsid w:val="005E4BD1"/>
    <w:rsid w:val="005F24C2"/>
    <w:rsid w:val="005F2885"/>
    <w:rsid w:val="005F3AC9"/>
    <w:rsid w:val="005F7D46"/>
    <w:rsid w:val="00606D68"/>
    <w:rsid w:val="006226B7"/>
    <w:rsid w:val="006237A6"/>
    <w:rsid w:val="006309B3"/>
    <w:rsid w:val="00630D09"/>
    <w:rsid w:val="00631E3A"/>
    <w:rsid w:val="0063286C"/>
    <w:rsid w:val="0063366A"/>
    <w:rsid w:val="006354AA"/>
    <w:rsid w:val="00645FCC"/>
    <w:rsid w:val="0064620E"/>
    <w:rsid w:val="006513BE"/>
    <w:rsid w:val="00661C2E"/>
    <w:rsid w:val="006636A2"/>
    <w:rsid w:val="00676D95"/>
    <w:rsid w:val="006836DC"/>
    <w:rsid w:val="00690E95"/>
    <w:rsid w:val="006930A7"/>
    <w:rsid w:val="006957D2"/>
    <w:rsid w:val="006A178E"/>
    <w:rsid w:val="006B08AE"/>
    <w:rsid w:val="006B7D60"/>
    <w:rsid w:val="006C043A"/>
    <w:rsid w:val="006C0F0E"/>
    <w:rsid w:val="006D54EF"/>
    <w:rsid w:val="006E00F9"/>
    <w:rsid w:val="006E34C9"/>
    <w:rsid w:val="006E470C"/>
    <w:rsid w:val="006E668C"/>
    <w:rsid w:val="006F5DEA"/>
    <w:rsid w:val="007031D2"/>
    <w:rsid w:val="00704F79"/>
    <w:rsid w:val="00705B76"/>
    <w:rsid w:val="007153CE"/>
    <w:rsid w:val="007309CF"/>
    <w:rsid w:val="00736C4F"/>
    <w:rsid w:val="00737D46"/>
    <w:rsid w:val="0075669F"/>
    <w:rsid w:val="00765187"/>
    <w:rsid w:val="00766199"/>
    <w:rsid w:val="00790E4A"/>
    <w:rsid w:val="007A7621"/>
    <w:rsid w:val="007B016A"/>
    <w:rsid w:val="007B0328"/>
    <w:rsid w:val="007B2A2A"/>
    <w:rsid w:val="007C10A5"/>
    <w:rsid w:val="007D2819"/>
    <w:rsid w:val="007D402E"/>
    <w:rsid w:val="007D50C1"/>
    <w:rsid w:val="007D771A"/>
    <w:rsid w:val="007E296A"/>
    <w:rsid w:val="007E7B22"/>
    <w:rsid w:val="007F2F78"/>
    <w:rsid w:val="007F655E"/>
    <w:rsid w:val="007F6CF0"/>
    <w:rsid w:val="007F77ED"/>
    <w:rsid w:val="008014EF"/>
    <w:rsid w:val="008048D9"/>
    <w:rsid w:val="008121AD"/>
    <w:rsid w:val="008178B2"/>
    <w:rsid w:val="00820645"/>
    <w:rsid w:val="00821263"/>
    <w:rsid w:val="00822C97"/>
    <w:rsid w:val="00825133"/>
    <w:rsid w:val="0083056A"/>
    <w:rsid w:val="00831348"/>
    <w:rsid w:val="00832A30"/>
    <w:rsid w:val="0083633F"/>
    <w:rsid w:val="00845A7D"/>
    <w:rsid w:val="00846F38"/>
    <w:rsid w:val="0084748E"/>
    <w:rsid w:val="00847DBA"/>
    <w:rsid w:val="00856EC4"/>
    <w:rsid w:val="00857D4B"/>
    <w:rsid w:val="0086128B"/>
    <w:rsid w:val="00862E34"/>
    <w:rsid w:val="00866A5B"/>
    <w:rsid w:val="00872325"/>
    <w:rsid w:val="00874E69"/>
    <w:rsid w:val="008841B0"/>
    <w:rsid w:val="00884A23"/>
    <w:rsid w:val="00887277"/>
    <w:rsid w:val="008874EF"/>
    <w:rsid w:val="00891BA1"/>
    <w:rsid w:val="008A0296"/>
    <w:rsid w:val="008A0E3A"/>
    <w:rsid w:val="008A0EF5"/>
    <w:rsid w:val="008A564D"/>
    <w:rsid w:val="008B334C"/>
    <w:rsid w:val="008C2BF4"/>
    <w:rsid w:val="008C59DF"/>
    <w:rsid w:val="008C6E0E"/>
    <w:rsid w:val="008D165E"/>
    <w:rsid w:val="008E05F9"/>
    <w:rsid w:val="008E0B42"/>
    <w:rsid w:val="008E165E"/>
    <w:rsid w:val="008E29DA"/>
    <w:rsid w:val="008F02C1"/>
    <w:rsid w:val="008F4843"/>
    <w:rsid w:val="008F6324"/>
    <w:rsid w:val="009118CB"/>
    <w:rsid w:val="00911A36"/>
    <w:rsid w:val="00916A91"/>
    <w:rsid w:val="00921E8F"/>
    <w:rsid w:val="009229A2"/>
    <w:rsid w:val="009246AD"/>
    <w:rsid w:val="00927BEF"/>
    <w:rsid w:val="009479AC"/>
    <w:rsid w:val="0095575E"/>
    <w:rsid w:val="009637C2"/>
    <w:rsid w:val="0096733D"/>
    <w:rsid w:val="00980D8B"/>
    <w:rsid w:val="00983A7B"/>
    <w:rsid w:val="00984FFF"/>
    <w:rsid w:val="00986788"/>
    <w:rsid w:val="00990F1A"/>
    <w:rsid w:val="00992FEC"/>
    <w:rsid w:val="009931D8"/>
    <w:rsid w:val="00995B6A"/>
    <w:rsid w:val="009A1136"/>
    <w:rsid w:val="009A6FD2"/>
    <w:rsid w:val="009B3F3E"/>
    <w:rsid w:val="009B5E4D"/>
    <w:rsid w:val="009C010E"/>
    <w:rsid w:val="009C0521"/>
    <w:rsid w:val="009C44AD"/>
    <w:rsid w:val="009D3E07"/>
    <w:rsid w:val="009D4472"/>
    <w:rsid w:val="009E112C"/>
    <w:rsid w:val="009E157A"/>
    <w:rsid w:val="009E1FDE"/>
    <w:rsid w:val="009E5AE6"/>
    <w:rsid w:val="009F37B7"/>
    <w:rsid w:val="00A0070E"/>
    <w:rsid w:val="00A02A01"/>
    <w:rsid w:val="00A107DD"/>
    <w:rsid w:val="00A12287"/>
    <w:rsid w:val="00A17A9B"/>
    <w:rsid w:val="00A20577"/>
    <w:rsid w:val="00A23E56"/>
    <w:rsid w:val="00A2659E"/>
    <w:rsid w:val="00A611B5"/>
    <w:rsid w:val="00A7251C"/>
    <w:rsid w:val="00A80F5F"/>
    <w:rsid w:val="00A83CC4"/>
    <w:rsid w:val="00A9652E"/>
    <w:rsid w:val="00AA0129"/>
    <w:rsid w:val="00AA2922"/>
    <w:rsid w:val="00AA3912"/>
    <w:rsid w:val="00AB5C0A"/>
    <w:rsid w:val="00AD1CCC"/>
    <w:rsid w:val="00AD20B4"/>
    <w:rsid w:val="00AD3376"/>
    <w:rsid w:val="00AE210F"/>
    <w:rsid w:val="00AE412E"/>
    <w:rsid w:val="00AE755A"/>
    <w:rsid w:val="00AF67A3"/>
    <w:rsid w:val="00B0297F"/>
    <w:rsid w:val="00B10FC8"/>
    <w:rsid w:val="00B14BAF"/>
    <w:rsid w:val="00B21621"/>
    <w:rsid w:val="00B22388"/>
    <w:rsid w:val="00B34475"/>
    <w:rsid w:val="00B42069"/>
    <w:rsid w:val="00B444FC"/>
    <w:rsid w:val="00B46207"/>
    <w:rsid w:val="00B46EDC"/>
    <w:rsid w:val="00B55C5D"/>
    <w:rsid w:val="00B575C8"/>
    <w:rsid w:val="00B67061"/>
    <w:rsid w:val="00B77FAC"/>
    <w:rsid w:val="00BA10BB"/>
    <w:rsid w:val="00BA6C28"/>
    <w:rsid w:val="00BB59ED"/>
    <w:rsid w:val="00BB777F"/>
    <w:rsid w:val="00BD510E"/>
    <w:rsid w:val="00BD7798"/>
    <w:rsid w:val="00BE4F73"/>
    <w:rsid w:val="00BF469C"/>
    <w:rsid w:val="00C029C8"/>
    <w:rsid w:val="00C0569D"/>
    <w:rsid w:val="00C06AD6"/>
    <w:rsid w:val="00C10739"/>
    <w:rsid w:val="00C22B0C"/>
    <w:rsid w:val="00C55001"/>
    <w:rsid w:val="00C60867"/>
    <w:rsid w:val="00C65775"/>
    <w:rsid w:val="00C66E06"/>
    <w:rsid w:val="00C67C31"/>
    <w:rsid w:val="00C717C5"/>
    <w:rsid w:val="00C729D6"/>
    <w:rsid w:val="00C76246"/>
    <w:rsid w:val="00C768D5"/>
    <w:rsid w:val="00C77696"/>
    <w:rsid w:val="00C81D8D"/>
    <w:rsid w:val="00C87E42"/>
    <w:rsid w:val="00C917F9"/>
    <w:rsid w:val="00C94EBC"/>
    <w:rsid w:val="00CA60BA"/>
    <w:rsid w:val="00CA76AD"/>
    <w:rsid w:val="00CA76C9"/>
    <w:rsid w:val="00CB7048"/>
    <w:rsid w:val="00CB73D4"/>
    <w:rsid w:val="00CB7CB4"/>
    <w:rsid w:val="00CC3823"/>
    <w:rsid w:val="00CC3B8B"/>
    <w:rsid w:val="00CC7BD9"/>
    <w:rsid w:val="00CD0735"/>
    <w:rsid w:val="00CD2559"/>
    <w:rsid w:val="00CE3464"/>
    <w:rsid w:val="00CE79F7"/>
    <w:rsid w:val="00CF0425"/>
    <w:rsid w:val="00CF760D"/>
    <w:rsid w:val="00D05F70"/>
    <w:rsid w:val="00D17EAB"/>
    <w:rsid w:val="00D21375"/>
    <w:rsid w:val="00D23BC8"/>
    <w:rsid w:val="00D26ED2"/>
    <w:rsid w:val="00D30E26"/>
    <w:rsid w:val="00D369BD"/>
    <w:rsid w:val="00D409C9"/>
    <w:rsid w:val="00D417C6"/>
    <w:rsid w:val="00D4393F"/>
    <w:rsid w:val="00D50BC5"/>
    <w:rsid w:val="00D575DB"/>
    <w:rsid w:val="00D70515"/>
    <w:rsid w:val="00D73D6B"/>
    <w:rsid w:val="00D813E9"/>
    <w:rsid w:val="00D9046D"/>
    <w:rsid w:val="00D90FED"/>
    <w:rsid w:val="00DA36D4"/>
    <w:rsid w:val="00DA7365"/>
    <w:rsid w:val="00DB131C"/>
    <w:rsid w:val="00DB191A"/>
    <w:rsid w:val="00DC13DA"/>
    <w:rsid w:val="00DC1FF7"/>
    <w:rsid w:val="00DD5B5D"/>
    <w:rsid w:val="00DE05BA"/>
    <w:rsid w:val="00DE775F"/>
    <w:rsid w:val="00DF1169"/>
    <w:rsid w:val="00DF2218"/>
    <w:rsid w:val="00DF2499"/>
    <w:rsid w:val="00DF250D"/>
    <w:rsid w:val="00DF2BE9"/>
    <w:rsid w:val="00DF4764"/>
    <w:rsid w:val="00E03433"/>
    <w:rsid w:val="00E076EC"/>
    <w:rsid w:val="00E10A69"/>
    <w:rsid w:val="00E13D90"/>
    <w:rsid w:val="00E169C4"/>
    <w:rsid w:val="00E16E1F"/>
    <w:rsid w:val="00E30720"/>
    <w:rsid w:val="00E30772"/>
    <w:rsid w:val="00E31CFB"/>
    <w:rsid w:val="00E35902"/>
    <w:rsid w:val="00E52D19"/>
    <w:rsid w:val="00E5502C"/>
    <w:rsid w:val="00E557AE"/>
    <w:rsid w:val="00E647D5"/>
    <w:rsid w:val="00E72239"/>
    <w:rsid w:val="00E737DE"/>
    <w:rsid w:val="00E74C8C"/>
    <w:rsid w:val="00E82069"/>
    <w:rsid w:val="00E82339"/>
    <w:rsid w:val="00E93540"/>
    <w:rsid w:val="00E96D9C"/>
    <w:rsid w:val="00EA03E4"/>
    <w:rsid w:val="00EA2293"/>
    <w:rsid w:val="00EB32AB"/>
    <w:rsid w:val="00EC4409"/>
    <w:rsid w:val="00EE489A"/>
    <w:rsid w:val="00EF04E0"/>
    <w:rsid w:val="00EF25F2"/>
    <w:rsid w:val="00EF3B57"/>
    <w:rsid w:val="00EF5573"/>
    <w:rsid w:val="00EF5D84"/>
    <w:rsid w:val="00EF68EA"/>
    <w:rsid w:val="00F01CA7"/>
    <w:rsid w:val="00F109A2"/>
    <w:rsid w:val="00F109C0"/>
    <w:rsid w:val="00F11DB4"/>
    <w:rsid w:val="00F12E28"/>
    <w:rsid w:val="00F22F12"/>
    <w:rsid w:val="00F233EA"/>
    <w:rsid w:val="00F26696"/>
    <w:rsid w:val="00F30704"/>
    <w:rsid w:val="00F4046B"/>
    <w:rsid w:val="00F417E9"/>
    <w:rsid w:val="00F52E68"/>
    <w:rsid w:val="00F57C7F"/>
    <w:rsid w:val="00F64A54"/>
    <w:rsid w:val="00F67460"/>
    <w:rsid w:val="00F72AAC"/>
    <w:rsid w:val="00F736F5"/>
    <w:rsid w:val="00F751BA"/>
    <w:rsid w:val="00F86672"/>
    <w:rsid w:val="00F87337"/>
    <w:rsid w:val="00F87801"/>
    <w:rsid w:val="00F91F12"/>
    <w:rsid w:val="00F94A89"/>
    <w:rsid w:val="00F962E9"/>
    <w:rsid w:val="00FA00ED"/>
    <w:rsid w:val="00FA1BE5"/>
    <w:rsid w:val="00FA6FC1"/>
    <w:rsid w:val="00FA77DB"/>
    <w:rsid w:val="00FB332E"/>
    <w:rsid w:val="00FC0E20"/>
    <w:rsid w:val="00FC7A8D"/>
    <w:rsid w:val="00FD123F"/>
    <w:rsid w:val="00FD3421"/>
    <w:rsid w:val="01C35DC6"/>
    <w:rsid w:val="02BA5600"/>
    <w:rsid w:val="02D761CB"/>
    <w:rsid w:val="032B537F"/>
    <w:rsid w:val="04327756"/>
    <w:rsid w:val="0555149D"/>
    <w:rsid w:val="0561037D"/>
    <w:rsid w:val="07183C75"/>
    <w:rsid w:val="07775DC4"/>
    <w:rsid w:val="08B566D7"/>
    <w:rsid w:val="08D46843"/>
    <w:rsid w:val="09EB5512"/>
    <w:rsid w:val="0AA91C8A"/>
    <w:rsid w:val="0C665EA4"/>
    <w:rsid w:val="0DAA4E47"/>
    <w:rsid w:val="0E1C19CE"/>
    <w:rsid w:val="0F6E6DCA"/>
    <w:rsid w:val="120D1589"/>
    <w:rsid w:val="15524B69"/>
    <w:rsid w:val="16932DC7"/>
    <w:rsid w:val="17636117"/>
    <w:rsid w:val="18701774"/>
    <w:rsid w:val="18A44033"/>
    <w:rsid w:val="18B06E78"/>
    <w:rsid w:val="1AE7336D"/>
    <w:rsid w:val="1AEE6718"/>
    <w:rsid w:val="1AFE6AC1"/>
    <w:rsid w:val="1CB810E7"/>
    <w:rsid w:val="1DCA54CD"/>
    <w:rsid w:val="1F7F6AF5"/>
    <w:rsid w:val="1F845D48"/>
    <w:rsid w:val="214567EB"/>
    <w:rsid w:val="236D1782"/>
    <w:rsid w:val="237078E4"/>
    <w:rsid w:val="27115220"/>
    <w:rsid w:val="27883783"/>
    <w:rsid w:val="27B16EA0"/>
    <w:rsid w:val="2868429B"/>
    <w:rsid w:val="29267ECB"/>
    <w:rsid w:val="2B2739AE"/>
    <w:rsid w:val="2BD84824"/>
    <w:rsid w:val="2CFF8198"/>
    <w:rsid w:val="2FF256BE"/>
    <w:rsid w:val="30F20836"/>
    <w:rsid w:val="31143C02"/>
    <w:rsid w:val="32C96B14"/>
    <w:rsid w:val="33503DFD"/>
    <w:rsid w:val="34CD39B6"/>
    <w:rsid w:val="358D4FC1"/>
    <w:rsid w:val="35FE45DC"/>
    <w:rsid w:val="363849B1"/>
    <w:rsid w:val="37E35DA0"/>
    <w:rsid w:val="37F018DF"/>
    <w:rsid w:val="37FD69AF"/>
    <w:rsid w:val="380D7E92"/>
    <w:rsid w:val="39257BF0"/>
    <w:rsid w:val="3B407C87"/>
    <w:rsid w:val="3B5A2151"/>
    <w:rsid w:val="3BCC5093"/>
    <w:rsid w:val="3D655DD9"/>
    <w:rsid w:val="3D942987"/>
    <w:rsid w:val="3D971A31"/>
    <w:rsid w:val="3DC856DF"/>
    <w:rsid w:val="3F1649F9"/>
    <w:rsid w:val="3F191A3A"/>
    <w:rsid w:val="3F2E625F"/>
    <w:rsid w:val="3F6E7AAD"/>
    <w:rsid w:val="408A2D14"/>
    <w:rsid w:val="410020CD"/>
    <w:rsid w:val="41377091"/>
    <w:rsid w:val="42485201"/>
    <w:rsid w:val="42790ED0"/>
    <w:rsid w:val="42953BD2"/>
    <w:rsid w:val="435330AA"/>
    <w:rsid w:val="4388242F"/>
    <w:rsid w:val="474827DE"/>
    <w:rsid w:val="4CF1216C"/>
    <w:rsid w:val="4E3E742D"/>
    <w:rsid w:val="4FFFC885"/>
    <w:rsid w:val="51487FA8"/>
    <w:rsid w:val="517C7FA2"/>
    <w:rsid w:val="52DC0C44"/>
    <w:rsid w:val="54790EB9"/>
    <w:rsid w:val="553F6190"/>
    <w:rsid w:val="56ED7D3E"/>
    <w:rsid w:val="56F1093E"/>
    <w:rsid w:val="5902563A"/>
    <w:rsid w:val="59810AFC"/>
    <w:rsid w:val="59D563F0"/>
    <w:rsid w:val="59DE35EA"/>
    <w:rsid w:val="5C196948"/>
    <w:rsid w:val="5CE2542C"/>
    <w:rsid w:val="5D881F60"/>
    <w:rsid w:val="5F560C0B"/>
    <w:rsid w:val="60A746EB"/>
    <w:rsid w:val="63312807"/>
    <w:rsid w:val="63FF151B"/>
    <w:rsid w:val="643D2F97"/>
    <w:rsid w:val="649171C5"/>
    <w:rsid w:val="66094108"/>
    <w:rsid w:val="666972B0"/>
    <w:rsid w:val="66E44D8E"/>
    <w:rsid w:val="67BF3D7A"/>
    <w:rsid w:val="67E90D8F"/>
    <w:rsid w:val="68584C50"/>
    <w:rsid w:val="691C09C9"/>
    <w:rsid w:val="6A425227"/>
    <w:rsid w:val="6D5B5A80"/>
    <w:rsid w:val="6E1E049E"/>
    <w:rsid w:val="72C61080"/>
    <w:rsid w:val="7420019C"/>
    <w:rsid w:val="74CA75AD"/>
    <w:rsid w:val="754B522C"/>
    <w:rsid w:val="75EE6902"/>
    <w:rsid w:val="79231812"/>
    <w:rsid w:val="7A9E4640"/>
    <w:rsid w:val="7C246ABE"/>
    <w:rsid w:val="7C68451A"/>
    <w:rsid w:val="7CB851D8"/>
    <w:rsid w:val="7DC464C8"/>
    <w:rsid w:val="7E6B6D12"/>
    <w:rsid w:val="7FCF366E"/>
    <w:rsid w:val="A8DF7BE9"/>
    <w:rsid w:val="BBBBE9D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1" w:semiHidden="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name="Hyperlink"/>
    <w:lsdException w:qFormat="1"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qFormat="1"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22"/>
    <w:qFormat/>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1"/>
    <w:link w:val="23"/>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32"/>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6">
    <w:name w:val="Default Paragraph Font"/>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WW-Default"/>
    <w:qFormat/>
    <w:uiPriority w:val="0"/>
    <w:pPr>
      <w:widowControl w:val="0"/>
      <w:suppressAutoHyphens/>
      <w:autoSpaceDE w:val="0"/>
    </w:pPr>
    <w:rPr>
      <w:rFonts w:ascii="Calibri" w:hAnsi="Calibri" w:eastAsia="宋体" w:cs="Times New Roman"/>
      <w:color w:val="000000"/>
      <w:sz w:val="24"/>
      <w:szCs w:val="24"/>
      <w:lang w:val="en-US" w:eastAsia="zh-CN" w:bidi="ar-SA"/>
    </w:rPr>
  </w:style>
  <w:style w:type="paragraph" w:styleId="6">
    <w:name w:val="Document Map"/>
    <w:basedOn w:val="1"/>
    <w:link w:val="29"/>
    <w:qFormat/>
    <w:uiPriority w:val="0"/>
    <w:rPr>
      <w:rFonts w:ascii="宋体" w:eastAsia="宋体"/>
      <w:sz w:val="18"/>
      <w:szCs w:val="18"/>
    </w:rPr>
  </w:style>
  <w:style w:type="paragraph" w:styleId="7">
    <w:name w:val="annotation text"/>
    <w:basedOn w:val="1"/>
    <w:link w:val="27"/>
    <w:qFormat/>
    <w:uiPriority w:val="99"/>
    <w:pPr>
      <w:jc w:val="left"/>
    </w:pPr>
  </w:style>
  <w:style w:type="paragraph" w:styleId="8">
    <w:name w:val="Body Text"/>
    <w:basedOn w:val="1"/>
    <w:qFormat/>
    <w:uiPriority w:val="1"/>
    <w:pPr>
      <w:ind w:left="220"/>
      <w:jc w:val="left"/>
    </w:pPr>
    <w:rPr>
      <w:rFonts w:ascii="宋体" w:hAnsi="宋体" w:eastAsia="宋体"/>
      <w:kern w:val="0"/>
      <w:sz w:val="28"/>
      <w:szCs w:val="28"/>
      <w:lang w:eastAsia="en-US"/>
    </w:rPr>
  </w:style>
  <w:style w:type="paragraph" w:styleId="9">
    <w:name w:val="Balloon Text"/>
    <w:basedOn w:val="1"/>
    <w:link w:val="26"/>
    <w:qFormat/>
    <w:uiPriority w:val="0"/>
    <w:rPr>
      <w:sz w:val="18"/>
      <w:szCs w:val="18"/>
    </w:rPr>
  </w:style>
  <w:style w:type="paragraph" w:styleId="10">
    <w:name w:val="footer"/>
    <w:basedOn w:val="1"/>
    <w:link w:val="24"/>
    <w:qFormat/>
    <w:uiPriority w:val="99"/>
    <w:pPr>
      <w:tabs>
        <w:tab w:val="center" w:pos="4153"/>
        <w:tab w:val="right" w:pos="8306"/>
      </w:tabs>
      <w:snapToGrid w:val="0"/>
      <w:jc w:val="left"/>
    </w:pPr>
    <w:rPr>
      <w:sz w:val="18"/>
      <w:szCs w:val="18"/>
    </w:rPr>
  </w:style>
  <w:style w:type="paragraph" w:styleId="11">
    <w:name w:val="header"/>
    <w:basedOn w:val="1"/>
    <w:link w:val="25"/>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3">
    <w:name w:val="annotation subject"/>
    <w:basedOn w:val="7"/>
    <w:next w:val="7"/>
    <w:link w:val="28"/>
    <w:qFormat/>
    <w:uiPriority w:val="0"/>
    <w:rPr>
      <w:b/>
      <w:bCs/>
    </w:rPr>
  </w:style>
  <w:style w:type="table" w:styleId="15">
    <w:name w:val="Table Grid"/>
    <w:basedOn w:val="1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FollowedHyperlink"/>
    <w:basedOn w:val="16"/>
    <w:semiHidden/>
    <w:unhideWhenUsed/>
    <w:qFormat/>
    <w:uiPriority w:val="0"/>
    <w:rPr>
      <w:color w:val="771CAA"/>
      <w:u w:val="none"/>
    </w:rPr>
  </w:style>
  <w:style w:type="character" w:styleId="18">
    <w:name w:val="Emphasis"/>
    <w:basedOn w:val="16"/>
    <w:qFormat/>
    <w:uiPriority w:val="0"/>
    <w:rPr>
      <w:color w:val="F73131"/>
    </w:rPr>
  </w:style>
  <w:style w:type="character" w:styleId="19">
    <w:name w:val="Hyperlink"/>
    <w:basedOn w:val="16"/>
    <w:semiHidden/>
    <w:unhideWhenUsed/>
    <w:qFormat/>
    <w:uiPriority w:val="0"/>
    <w:rPr>
      <w:color w:val="2440B3"/>
      <w:u w:val="none"/>
    </w:rPr>
  </w:style>
  <w:style w:type="character" w:styleId="20">
    <w:name w:val="annotation reference"/>
    <w:basedOn w:val="16"/>
    <w:qFormat/>
    <w:uiPriority w:val="0"/>
    <w:rPr>
      <w:sz w:val="21"/>
      <w:szCs w:val="21"/>
    </w:rPr>
  </w:style>
  <w:style w:type="character" w:styleId="21">
    <w:name w:val="HTML Cite"/>
    <w:basedOn w:val="16"/>
    <w:semiHidden/>
    <w:unhideWhenUsed/>
    <w:qFormat/>
    <w:uiPriority w:val="0"/>
    <w:rPr>
      <w:color w:val="008000"/>
    </w:rPr>
  </w:style>
  <w:style w:type="character" w:customStyle="1" w:styleId="22">
    <w:name w:val="标题 2 Char"/>
    <w:basedOn w:val="16"/>
    <w:link w:val="3"/>
    <w:qFormat/>
    <w:uiPriority w:val="0"/>
    <w:rPr>
      <w:rFonts w:ascii="Arial" w:hAnsi="Arial" w:eastAsia="黑体" w:cs="Times New Roman"/>
      <w:b/>
      <w:bCs/>
      <w:kern w:val="2"/>
      <w:sz w:val="32"/>
      <w:szCs w:val="32"/>
    </w:rPr>
  </w:style>
  <w:style w:type="character" w:customStyle="1" w:styleId="23">
    <w:name w:val="标题 3 Char"/>
    <w:basedOn w:val="16"/>
    <w:link w:val="4"/>
    <w:qFormat/>
    <w:uiPriority w:val="0"/>
    <w:rPr>
      <w:b/>
      <w:bCs/>
      <w:kern w:val="2"/>
      <w:sz w:val="32"/>
      <w:szCs w:val="32"/>
    </w:rPr>
  </w:style>
  <w:style w:type="character" w:customStyle="1" w:styleId="24">
    <w:name w:val="页脚 Char"/>
    <w:basedOn w:val="16"/>
    <w:link w:val="10"/>
    <w:qFormat/>
    <w:uiPriority w:val="99"/>
    <w:rPr>
      <w:kern w:val="2"/>
      <w:sz w:val="18"/>
      <w:szCs w:val="18"/>
    </w:rPr>
  </w:style>
  <w:style w:type="character" w:customStyle="1" w:styleId="25">
    <w:name w:val="页眉 Char"/>
    <w:basedOn w:val="16"/>
    <w:link w:val="11"/>
    <w:qFormat/>
    <w:uiPriority w:val="0"/>
    <w:rPr>
      <w:kern w:val="2"/>
      <w:sz w:val="18"/>
      <w:szCs w:val="18"/>
    </w:rPr>
  </w:style>
  <w:style w:type="character" w:customStyle="1" w:styleId="26">
    <w:name w:val="批注框文本 Char"/>
    <w:basedOn w:val="16"/>
    <w:link w:val="9"/>
    <w:qFormat/>
    <w:uiPriority w:val="0"/>
    <w:rPr>
      <w:kern w:val="2"/>
      <w:sz w:val="18"/>
      <w:szCs w:val="18"/>
    </w:rPr>
  </w:style>
  <w:style w:type="character" w:customStyle="1" w:styleId="27">
    <w:name w:val="批注文字 Char"/>
    <w:basedOn w:val="16"/>
    <w:link w:val="7"/>
    <w:qFormat/>
    <w:uiPriority w:val="99"/>
    <w:rPr>
      <w:kern w:val="2"/>
      <w:sz w:val="21"/>
      <w:szCs w:val="22"/>
    </w:rPr>
  </w:style>
  <w:style w:type="character" w:customStyle="1" w:styleId="28">
    <w:name w:val="批注主题 Char"/>
    <w:basedOn w:val="27"/>
    <w:link w:val="13"/>
    <w:qFormat/>
    <w:uiPriority w:val="0"/>
    <w:rPr>
      <w:b/>
      <w:bCs/>
      <w:kern w:val="2"/>
      <w:sz w:val="21"/>
      <w:szCs w:val="22"/>
    </w:rPr>
  </w:style>
  <w:style w:type="character" w:customStyle="1" w:styleId="29">
    <w:name w:val="文档结构图 Char"/>
    <w:basedOn w:val="16"/>
    <w:link w:val="6"/>
    <w:qFormat/>
    <w:uiPriority w:val="0"/>
    <w:rPr>
      <w:rFonts w:ascii="宋体" w:eastAsia="宋体"/>
      <w:kern w:val="2"/>
      <w:sz w:val="18"/>
      <w:szCs w:val="18"/>
    </w:rPr>
  </w:style>
  <w:style w:type="paragraph" w:styleId="30">
    <w:name w:val="List Paragraph"/>
    <w:basedOn w:val="1"/>
    <w:unhideWhenUsed/>
    <w:qFormat/>
    <w:uiPriority w:val="99"/>
    <w:pPr>
      <w:ind w:firstLine="420" w:firstLineChars="200"/>
    </w:pPr>
  </w:style>
  <w:style w:type="paragraph" w:customStyle="1" w:styleId="31">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32">
    <w:name w:val="标题 4 Char"/>
    <w:basedOn w:val="16"/>
    <w:link w:val="5"/>
    <w:semiHidden/>
    <w:qFormat/>
    <w:uiPriority w:val="0"/>
    <w:rPr>
      <w:rFonts w:asciiTheme="majorHAnsi" w:hAnsiTheme="majorHAnsi" w:eastAsiaTheme="majorEastAsia" w:cstheme="majorBidi"/>
      <w:b/>
      <w:bCs/>
      <w:kern w:val="2"/>
      <w:sz w:val="28"/>
      <w:szCs w:val="28"/>
    </w:rPr>
  </w:style>
  <w:style w:type="character" w:customStyle="1" w:styleId="33">
    <w:name w:val="c-icon28"/>
    <w:basedOn w:val="16"/>
    <w:qFormat/>
    <w:uiPriority w:val="0"/>
  </w:style>
  <w:style w:type="character" w:customStyle="1" w:styleId="34">
    <w:name w:val="hover25"/>
    <w:basedOn w:val="16"/>
    <w:qFormat/>
    <w:uiPriority w:val="0"/>
    <w:rPr>
      <w:color w:val="315EFB"/>
    </w:rPr>
  </w:style>
  <w:style w:type="character" w:customStyle="1" w:styleId="35">
    <w:name w:val="hover26"/>
    <w:basedOn w:val="16"/>
    <w:qFormat/>
    <w:uiPriority w:val="0"/>
  </w:style>
  <w:style w:type="character" w:customStyle="1" w:styleId="36">
    <w:name w:val="hover17"/>
    <w:basedOn w:val="16"/>
    <w:qFormat/>
    <w:uiPriority w:val="0"/>
  </w:style>
  <w:style w:type="character" w:customStyle="1" w:styleId="37">
    <w:name w:val="hover18"/>
    <w:basedOn w:val="16"/>
    <w:qFormat/>
    <w:uiPriority w:val="0"/>
    <w:rPr>
      <w:color w:val="315EFB"/>
    </w:rPr>
  </w:style>
  <w:style w:type="character" w:customStyle="1" w:styleId="38">
    <w:name w:val="c-icon"/>
    <w:basedOn w:val="16"/>
    <w:qFormat/>
    <w:uiPriority w:val="0"/>
  </w:style>
  <w:style w:type="paragraph" w:customStyle="1" w:styleId="39">
    <w:name w:val="修订2"/>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3308</Words>
  <Characters>3412</Characters>
  <Lines>24</Lines>
  <Paragraphs>6</Paragraphs>
  <TotalTime>0</TotalTime>
  <ScaleCrop>false</ScaleCrop>
  <LinksUpToDate>false</LinksUpToDate>
  <CharactersWithSpaces>3416</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2022-02-22T21:13:00Z</dcterms:created>
  <dc:creator>pc</dc:creator>
  <cp:lastModifiedBy>liu</cp:lastModifiedBy>
  <cp:lastPrinted>2023-01-05T06:43:00Z</cp:lastPrinted>
  <dcterms:modified xsi:type="dcterms:W3CDTF">2023-01-10T16:22:31Z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58A35D3C88704456AF1D6C07759F7854</vt:lpwstr>
  </property>
</Properties>
</file>