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20" w:line="600" w:lineRule="atLeast"/>
        <w:jc w:val="both"/>
        <w:rPr>
          <w:rFonts w:hint="eastAsia" w:ascii="仿宋" w:hAnsi="仿宋" w:eastAsia="仿宋" w:cs="仿宋"/>
          <w:b/>
          <w:bCs/>
          <w:color w:val="333333"/>
          <w:spacing w:val="15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pacing w:val="15"/>
          <w:kern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333333"/>
          <w:spacing w:val="15"/>
          <w:kern w:val="0"/>
          <w:sz w:val="24"/>
          <w:szCs w:val="24"/>
          <w:lang w:val="en-US" w:eastAsia="zh-CN"/>
        </w:rPr>
        <w:t>3</w:t>
      </w:r>
    </w:p>
    <w:p>
      <w:pPr>
        <w:widowControl/>
        <w:spacing w:before="100" w:beforeAutospacing="1" w:after="120" w:line="600" w:lineRule="atLeast"/>
        <w:jc w:val="center"/>
        <w:rPr>
          <w:rFonts w:ascii="宋体" w:hAnsi="宋体" w:eastAsia="宋体" w:cs="宋体"/>
          <w:color w:val="333333"/>
          <w:spacing w:val="15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spacing w:val="15"/>
          <w:kern w:val="0"/>
          <w:sz w:val="30"/>
          <w:szCs w:val="30"/>
          <w:lang w:eastAsia="zh-CN"/>
        </w:rPr>
        <w:t>安徽省</w:t>
      </w:r>
      <w:r>
        <w:rPr>
          <w:rFonts w:hint="eastAsia" w:ascii="方正小标宋简体" w:hAnsi="宋体" w:eastAsia="方正小标宋简体" w:cs="宋体"/>
          <w:b/>
          <w:bCs/>
          <w:color w:val="333333"/>
          <w:spacing w:val="15"/>
          <w:kern w:val="0"/>
          <w:sz w:val="30"/>
          <w:szCs w:val="30"/>
        </w:rPr>
        <w:t>企业环境违法违规行为</w:t>
      </w:r>
      <w:r>
        <w:rPr>
          <w:rFonts w:hint="eastAsia" w:ascii="方正小标宋简体" w:hAnsi="宋体" w:eastAsia="方正小标宋简体" w:cs="宋体"/>
          <w:b/>
          <w:bCs/>
          <w:color w:val="333333"/>
          <w:spacing w:val="15"/>
          <w:kern w:val="0"/>
          <w:sz w:val="30"/>
          <w:szCs w:val="30"/>
          <w:lang w:eastAsia="zh-CN"/>
        </w:rPr>
        <w:t>扣分</w:t>
      </w:r>
      <w:r>
        <w:rPr>
          <w:rFonts w:hint="eastAsia" w:ascii="方正小标宋简体" w:hAnsi="宋体" w:eastAsia="方正小标宋简体" w:cs="宋体"/>
          <w:b/>
          <w:bCs/>
          <w:color w:val="333333"/>
          <w:spacing w:val="15"/>
          <w:kern w:val="0"/>
          <w:sz w:val="30"/>
          <w:szCs w:val="30"/>
        </w:rPr>
        <w:t>标准</w:t>
      </w:r>
    </w:p>
    <w:tbl>
      <w:tblPr>
        <w:tblStyle w:val="5"/>
        <w:tblW w:w="9293" w:type="dxa"/>
        <w:jc w:val="center"/>
        <w:tblInd w:w="1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286"/>
        <w:gridCol w:w="4519"/>
        <w:gridCol w:w="14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Header/>
          <w:jc w:val="center"/>
        </w:trPr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8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环境违法违规行为处罚处理类别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  <w:lang w:eastAsia="zh-CN"/>
              </w:rPr>
              <w:t>扣分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1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警告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2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责令改正或者限期改正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3</w:t>
            </w:r>
          </w:p>
        </w:tc>
        <w:tc>
          <w:tcPr>
            <w:tcW w:w="22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罚款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罚款1万以下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罚款1万及以上、5万以下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罚款5万及以上、10万以下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罚款10万及以上、20万以下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罚款20万及以上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4</w:t>
            </w:r>
          </w:p>
        </w:tc>
        <w:tc>
          <w:tcPr>
            <w:tcW w:w="22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责令停止建设</w:t>
            </w:r>
          </w:p>
        </w:tc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登记表类建设项目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报告表类建设项目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报告书类建设项目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5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责令限制生产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6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责令停产整治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7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实施查封、扣押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8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没收违法所得、没收非法财物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9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暂扣许可证或者其他具有许可性质的证件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吊销许可证或者其他具有许可性质的证件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5</w:t>
            </w:r>
          </w:p>
        </w:tc>
      </w:tr>
    </w:tbl>
    <w:p>
      <w:pPr>
        <w:widowControl/>
        <w:spacing w:before="100" w:beforeAutospacing="1" w:after="100" w:afterAutospacing="1" w:line="400" w:lineRule="atLeast"/>
        <w:ind w:firstLine="207"/>
        <w:jc w:val="left"/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333333"/>
          <w:spacing w:val="15"/>
          <w:kern w:val="0"/>
          <w:szCs w:val="21"/>
        </w:rPr>
        <w:t>说明：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一、对企业不同环境违法违规行为，分次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受到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环境行政处罚处理的，分别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扣分，扣完为止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。</w:t>
      </w:r>
    </w:p>
    <w:p>
      <w:pPr>
        <w:widowControl/>
        <w:spacing w:before="100" w:beforeAutospacing="1" w:after="100" w:afterAutospacing="1" w:line="300" w:lineRule="atLeast"/>
        <w:ind w:firstLine="420"/>
        <w:jc w:val="left"/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二、对企业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因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某一环境违法违规行为，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受到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两种以上环境行政处罚处理的，按照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扣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分值最高的类别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扣分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。如企业污染物超标排放，采取罚款10万元和限制生产处罚处理措施，按照限制生产类别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扣分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。</w:t>
      </w:r>
    </w:p>
    <w:p>
      <w:pPr>
        <w:widowControl/>
        <w:spacing w:before="100" w:beforeAutospacing="1" w:after="100" w:afterAutospacing="1" w:line="300" w:lineRule="atLeast"/>
        <w:ind w:firstLine="420"/>
        <w:jc w:val="left"/>
        <w:rPr>
          <w:rFonts w:hint="eastAsia" w:ascii="宋体" w:hAnsi="宋体" w:eastAsia="宋体" w:cs="宋体"/>
          <w:color w:val="333333"/>
          <w:spacing w:val="15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三、对企业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发生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两种以上环境违法违规行为、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受到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两种以上环境行政处罚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合并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处理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的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，按照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扣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分值最高的类别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扣分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。如企业污染物超标排放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、闲置污染治理设施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，采取罚款10万元和限制生产处罚处理措施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进行合并处罚</w:t>
      </w:r>
      <w:bookmarkStart w:id="0" w:name="_GoBack"/>
      <w:bookmarkEnd w:id="0"/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处理的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，按照限制生产类别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  <w:lang w:eastAsia="zh-CN"/>
        </w:rPr>
        <w:t>扣分</w:t>
      </w:r>
      <w:r>
        <w:rPr>
          <w:rFonts w:hint="eastAsia" w:ascii="黑体" w:hAnsi="黑体" w:eastAsia="黑体" w:cs="宋体"/>
          <w:color w:val="333333"/>
          <w:spacing w:val="15"/>
          <w:kern w:val="0"/>
          <w:szCs w:val="21"/>
        </w:rPr>
        <w:t>。</w:t>
      </w: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A"/>
    <w:rsid w:val="004E2AAD"/>
    <w:rsid w:val="00652DB5"/>
    <w:rsid w:val="006F2B0A"/>
    <w:rsid w:val="009B04BA"/>
    <w:rsid w:val="00A07D3E"/>
    <w:rsid w:val="00D5406A"/>
    <w:rsid w:val="06F022DE"/>
    <w:rsid w:val="0DF44500"/>
    <w:rsid w:val="30E246A9"/>
    <w:rsid w:val="47F06BC5"/>
    <w:rsid w:val="48523B22"/>
    <w:rsid w:val="4A4C4BE1"/>
    <w:rsid w:val="520E61C0"/>
    <w:rsid w:val="577E3549"/>
    <w:rsid w:val="78202055"/>
    <w:rsid w:val="7B6731EB"/>
    <w:rsid w:val="7B676D25"/>
    <w:rsid w:val="7EB228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516</Characters>
  <Lines>4</Lines>
  <Paragraphs>1</Paragraphs>
  <ScaleCrop>false</ScaleCrop>
  <LinksUpToDate>false</LinksUpToDate>
  <CharactersWithSpaces>605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2016-12-26T04:04:00Z</dcterms:created>
  <dc:creator>cheng</dc:creator>
  <cp:lastModifiedBy>hyq</cp:lastModifiedBy>
  <cp:lastPrinted>2017-01-16T07:39:00Z</cp:lastPrinted>
  <dcterms:modified xsi:type="dcterms:W3CDTF">2017-03-10T05:18:43Z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